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9B7BF63" w14:textId="6E85A30B" w:rsidR="00B17B68" w:rsidRPr="004F1CE4" w:rsidRDefault="00B17B68">
      <w:pPr>
        <w:tabs>
          <w:tab w:val="right" w:pos="7370"/>
        </w:tabs>
        <w:ind w:firstLine="720"/>
        <w:jc w:val="right"/>
        <w:rPr>
          <w:b/>
          <w:sz w:val="18"/>
          <w:szCs w:val="18"/>
          <w:u w:val="single"/>
        </w:rPr>
      </w:pPr>
      <w:r w:rsidRPr="004F1CE4">
        <w:rPr>
          <w:b/>
          <w:sz w:val="18"/>
          <w:szCs w:val="18"/>
          <w:u w:val="single"/>
        </w:rPr>
        <w:t>Expediente: 80656</w:t>
      </w:r>
    </w:p>
    <w:p w14:paraId="7BA9B596" w14:textId="275D75B9" w:rsidR="003607D4" w:rsidRDefault="0097026C">
      <w:pPr>
        <w:tabs>
          <w:tab w:val="right" w:pos="7370"/>
        </w:tabs>
        <w:ind w:firstLine="720"/>
        <w:jc w:val="right"/>
        <w:rPr>
          <w:sz w:val="18"/>
          <w:szCs w:val="18"/>
          <w:u w:val="single"/>
        </w:rPr>
      </w:pPr>
      <w:r>
        <w:rPr>
          <w:b/>
          <w:sz w:val="18"/>
          <w:szCs w:val="18"/>
          <w:u w:val="single"/>
        </w:rPr>
        <w:t xml:space="preserve">T.D.: </w:t>
      </w:r>
      <w:r w:rsidR="00B17B68">
        <w:rPr>
          <w:b/>
          <w:sz w:val="18"/>
          <w:szCs w:val="18"/>
          <w:u w:val="single"/>
        </w:rPr>
        <w:t>15621359</w:t>
      </w:r>
    </w:p>
    <w:p w14:paraId="38A84450" w14:textId="77777777" w:rsidR="003607D4" w:rsidRDefault="003607D4">
      <w:pPr>
        <w:jc w:val="center"/>
        <w:rPr>
          <w:sz w:val="18"/>
          <w:szCs w:val="18"/>
        </w:rPr>
      </w:pPr>
    </w:p>
    <w:p w14:paraId="2A517E9D" w14:textId="03FB6ACD" w:rsidR="003607D4" w:rsidRDefault="00511443">
      <w:pPr>
        <w:jc w:val="center"/>
        <w:rPr>
          <w:u w:val="single"/>
        </w:rPr>
      </w:pPr>
      <w:r>
        <w:rPr>
          <w:b/>
          <w:u w:val="single"/>
        </w:rPr>
        <w:t xml:space="preserve">OPINIÓN Nº </w:t>
      </w:r>
      <w:r w:rsidR="00ED41C2">
        <w:rPr>
          <w:b/>
          <w:u w:val="single"/>
        </w:rPr>
        <w:t>186</w:t>
      </w:r>
      <w:r w:rsidR="0097026C">
        <w:rPr>
          <w:b/>
          <w:u w:val="single"/>
        </w:rPr>
        <w:t>-201</w:t>
      </w:r>
      <w:r w:rsidR="000428D9">
        <w:rPr>
          <w:b/>
          <w:u w:val="single"/>
        </w:rPr>
        <w:t>9</w:t>
      </w:r>
      <w:r w:rsidR="0097026C">
        <w:rPr>
          <w:b/>
          <w:u w:val="single"/>
        </w:rPr>
        <w:t>/DTN</w:t>
      </w:r>
    </w:p>
    <w:p w14:paraId="137326CD" w14:textId="77777777" w:rsidR="003607D4" w:rsidRDefault="003607D4">
      <w:pPr>
        <w:jc w:val="center"/>
      </w:pPr>
    </w:p>
    <w:p w14:paraId="43A4512D" w14:textId="77777777" w:rsidR="003607D4" w:rsidRDefault="003607D4">
      <w:pPr>
        <w:jc w:val="center"/>
      </w:pPr>
    </w:p>
    <w:p w14:paraId="11CB08DC" w14:textId="3101064D" w:rsidR="003607D4" w:rsidRPr="00D65FD2" w:rsidRDefault="004D3007">
      <w:pPr>
        <w:tabs>
          <w:tab w:val="left" w:pos="2160"/>
        </w:tabs>
        <w:ind w:left="2127" w:hanging="2127"/>
        <w:jc w:val="both"/>
        <w:rPr>
          <w:lang w:val="es-PE"/>
        </w:rPr>
      </w:pPr>
      <w:r>
        <w:rPr>
          <w:lang w:val="es-PE"/>
        </w:rPr>
        <w:t>Entidad</w:t>
      </w:r>
      <w:r w:rsidR="0097026C" w:rsidRPr="00D65FD2">
        <w:rPr>
          <w:lang w:val="es-PE"/>
        </w:rPr>
        <w:t>:</w:t>
      </w:r>
      <w:r w:rsidR="0097026C" w:rsidRPr="00D65FD2">
        <w:rPr>
          <w:lang w:val="es-PE"/>
        </w:rPr>
        <w:tab/>
      </w:r>
      <w:r w:rsidR="00B17B68">
        <w:rPr>
          <w:lang w:val="es-PE"/>
        </w:rPr>
        <w:t>Seguro Integral de Salud</w:t>
      </w:r>
    </w:p>
    <w:p w14:paraId="351FADC6" w14:textId="77777777" w:rsidR="003607D4" w:rsidRPr="00D65FD2" w:rsidRDefault="003607D4">
      <w:pPr>
        <w:tabs>
          <w:tab w:val="left" w:pos="2160"/>
        </w:tabs>
        <w:ind w:left="2880" w:hanging="2880"/>
        <w:jc w:val="both"/>
        <w:rPr>
          <w:lang w:val="es-PE"/>
        </w:rPr>
      </w:pPr>
    </w:p>
    <w:p w14:paraId="1B5A5435" w14:textId="07D43ED8" w:rsidR="003607D4" w:rsidRDefault="0097026C">
      <w:pPr>
        <w:tabs>
          <w:tab w:val="left" w:pos="2160"/>
        </w:tabs>
        <w:ind w:left="2127" w:hanging="2127"/>
        <w:jc w:val="both"/>
      </w:pPr>
      <w:r>
        <w:t>Asunto:</w:t>
      </w:r>
      <w:r>
        <w:tab/>
      </w:r>
      <w:r w:rsidR="00B17B68">
        <w:t>Plazo para someter una controversia a conciliación o arbitraje</w:t>
      </w:r>
    </w:p>
    <w:p w14:paraId="735D2F78" w14:textId="77777777" w:rsidR="003607D4" w:rsidRDefault="003607D4">
      <w:pPr>
        <w:tabs>
          <w:tab w:val="left" w:pos="2160"/>
        </w:tabs>
        <w:ind w:left="2127" w:hanging="2127"/>
        <w:jc w:val="both"/>
      </w:pPr>
    </w:p>
    <w:p w14:paraId="58F313F7" w14:textId="281E3BEE" w:rsidR="003607D4" w:rsidRPr="00D43D6A" w:rsidRDefault="0097026C" w:rsidP="00AB3C48">
      <w:pPr>
        <w:pBdr>
          <w:bottom w:val="single" w:sz="12" w:space="1" w:color="000000"/>
        </w:pBdr>
        <w:tabs>
          <w:tab w:val="left" w:pos="2127"/>
        </w:tabs>
        <w:ind w:left="2127" w:hanging="2127"/>
        <w:jc w:val="both"/>
        <w:rPr>
          <w:szCs w:val="22"/>
        </w:rPr>
      </w:pPr>
      <w:r>
        <w:t>Referencia:</w:t>
      </w:r>
      <w:r>
        <w:tab/>
      </w:r>
      <w:r w:rsidR="004D3007">
        <w:rPr>
          <w:szCs w:val="22"/>
        </w:rPr>
        <w:t xml:space="preserve">Oficio N° </w:t>
      </w:r>
      <w:r w:rsidR="00B17B68">
        <w:rPr>
          <w:szCs w:val="22"/>
        </w:rPr>
        <w:t>866-2019-SIS-FISSAL/J</w:t>
      </w:r>
    </w:p>
    <w:p w14:paraId="0051D0DD" w14:textId="77777777" w:rsidR="003607D4" w:rsidRPr="00511443" w:rsidRDefault="003607D4">
      <w:pPr>
        <w:pBdr>
          <w:bottom w:val="single" w:sz="12" w:space="1" w:color="000000"/>
        </w:pBdr>
        <w:tabs>
          <w:tab w:val="left" w:pos="2127"/>
        </w:tabs>
        <w:ind w:left="2880" w:hanging="2880"/>
        <w:jc w:val="both"/>
        <w:rPr>
          <w:sz w:val="22"/>
          <w:szCs w:val="22"/>
        </w:rPr>
      </w:pPr>
    </w:p>
    <w:p w14:paraId="5DC65180" w14:textId="77777777" w:rsidR="003607D4" w:rsidRDefault="003607D4">
      <w:pPr>
        <w:jc w:val="both"/>
      </w:pPr>
    </w:p>
    <w:p w14:paraId="1C318394" w14:textId="77777777" w:rsidR="003607D4" w:rsidRDefault="0097026C" w:rsidP="0075266A">
      <w:pPr>
        <w:numPr>
          <w:ilvl w:val="0"/>
          <w:numId w:val="1"/>
        </w:numPr>
        <w:spacing w:line="276" w:lineRule="auto"/>
        <w:ind w:left="567" w:hanging="567"/>
        <w:contextualSpacing/>
        <w:jc w:val="both"/>
      </w:pPr>
      <w:r>
        <w:rPr>
          <w:b/>
        </w:rPr>
        <w:t>ANTECEDENTES</w:t>
      </w:r>
    </w:p>
    <w:p w14:paraId="32919218" w14:textId="77777777" w:rsidR="003607D4" w:rsidRDefault="003607D4">
      <w:pPr>
        <w:spacing w:line="276" w:lineRule="auto"/>
        <w:ind w:left="567"/>
        <w:jc w:val="both"/>
      </w:pPr>
    </w:p>
    <w:p w14:paraId="159E6795" w14:textId="794F86AB" w:rsidR="003607D4" w:rsidRDefault="0097026C" w:rsidP="00B767E4">
      <w:pPr>
        <w:tabs>
          <w:tab w:val="left" w:pos="567"/>
        </w:tabs>
        <w:jc w:val="both"/>
      </w:pPr>
      <w:r>
        <w:t xml:space="preserve">Mediante el documento de la referencia, </w:t>
      </w:r>
      <w:r w:rsidR="00F718B0">
        <w:t xml:space="preserve">el </w:t>
      </w:r>
      <w:r w:rsidR="009B18B4">
        <w:t xml:space="preserve">Jefe </w:t>
      </w:r>
      <w:r w:rsidR="00840570">
        <w:t xml:space="preserve">(e) </w:t>
      </w:r>
      <w:r w:rsidR="009B18B4">
        <w:t>de</w:t>
      </w:r>
      <w:r w:rsidR="00840570">
        <w:t>l Fondo Intangible Solidario de Salud del Seguro Integral de Salud,</w:t>
      </w:r>
      <w:r w:rsidR="009B18B4">
        <w:t xml:space="preserve"> </w:t>
      </w:r>
      <w:r w:rsidR="003C5C71">
        <w:t xml:space="preserve">formula </w:t>
      </w:r>
      <w:r w:rsidR="00840570">
        <w:t xml:space="preserve">una </w:t>
      </w:r>
      <w:r w:rsidR="004D3007">
        <w:t xml:space="preserve">consulta </w:t>
      </w:r>
      <w:r w:rsidR="00840570">
        <w:t>referida al plazo que tiene el contratista para someter una controversia, que surge durante la ejecución del contrato, a conciliación o arbitraje.</w:t>
      </w:r>
    </w:p>
    <w:p w14:paraId="78F86FD4" w14:textId="77777777" w:rsidR="003607D4" w:rsidRDefault="003607D4" w:rsidP="00B767E4">
      <w:pPr>
        <w:spacing w:line="276" w:lineRule="auto"/>
        <w:jc w:val="both"/>
      </w:pPr>
    </w:p>
    <w:p w14:paraId="6DE71AC3" w14:textId="4B4469E4" w:rsidR="003607D4" w:rsidRDefault="0097026C" w:rsidP="00B767E4">
      <w:pPr>
        <w:jc w:val="both"/>
      </w:pPr>
      <w:r>
        <w:t>Antes de iniciar el desarrollo del presente análisis, es necesario precisar que las consultas que absuelve este Organismo Técnico Especializado son aquellas referidas al sentido y alcance de la normativa de contrataciones del Estado, planteadas sobre temas genéricos y vinculados entre sí, sin hacer alusión a asuntos concretos o específicos, de conformidad c</w:t>
      </w:r>
      <w:r w:rsidR="009844BD">
        <w:t>on lo dispuesto por el literal n</w:t>
      </w:r>
      <w:r>
        <w:t xml:space="preserve">) del artículo 52 de la Ley de Contrataciones del Estado, Ley N° 30225, y </w:t>
      </w:r>
      <w:r w:rsidR="009844BD">
        <w:t>el acápite 9 del Anexo 2 del Reglamento, aprobado mediante Decreto Supremo N° 344-2018-EF</w:t>
      </w:r>
      <w:r>
        <w:t>.</w:t>
      </w:r>
    </w:p>
    <w:p w14:paraId="55FAA9B1" w14:textId="77777777" w:rsidR="003607D4" w:rsidRDefault="003607D4" w:rsidP="00B767E4">
      <w:pPr>
        <w:jc w:val="both"/>
      </w:pPr>
    </w:p>
    <w:p w14:paraId="0C4CD913" w14:textId="46A3712B" w:rsidR="003607D4" w:rsidRDefault="00C341C7" w:rsidP="00B767E4">
      <w:pPr>
        <w:jc w:val="both"/>
      </w:pPr>
      <w:r>
        <w:t xml:space="preserve">En ese sentido, la </w:t>
      </w:r>
      <w:r w:rsidR="00F229BC">
        <w:t xml:space="preserve">conclusión </w:t>
      </w:r>
      <w:r w:rsidR="0097026C">
        <w:t xml:space="preserve">de la presente opinión </w:t>
      </w:r>
      <w:r w:rsidR="0097026C">
        <w:rPr>
          <w:u w:val="single"/>
        </w:rPr>
        <w:t>no se encuentra vinculada necesariamente a situación particular alguna</w:t>
      </w:r>
      <w:r w:rsidR="0097026C">
        <w:t>.</w:t>
      </w:r>
    </w:p>
    <w:p w14:paraId="7B306559" w14:textId="77777777" w:rsidR="003607D4" w:rsidRDefault="003607D4" w:rsidP="00B767E4">
      <w:pPr>
        <w:jc w:val="both"/>
      </w:pPr>
    </w:p>
    <w:p w14:paraId="0AACF10F" w14:textId="07396C18" w:rsidR="003607D4" w:rsidRDefault="00170971" w:rsidP="0075266A">
      <w:pPr>
        <w:numPr>
          <w:ilvl w:val="0"/>
          <w:numId w:val="1"/>
        </w:numPr>
        <w:ind w:left="567" w:hanging="567"/>
        <w:contextualSpacing/>
        <w:jc w:val="both"/>
      </w:pPr>
      <w:r>
        <w:rPr>
          <w:b/>
        </w:rPr>
        <w:t>CONSULTA</w:t>
      </w:r>
      <w:r w:rsidR="0097026C">
        <w:rPr>
          <w:b/>
        </w:rPr>
        <w:t xml:space="preserve"> Y ANÁLISIS</w:t>
      </w:r>
    </w:p>
    <w:p w14:paraId="27A88B51" w14:textId="77777777" w:rsidR="003607D4" w:rsidRDefault="003607D4" w:rsidP="00B767E4">
      <w:pPr>
        <w:jc w:val="both"/>
      </w:pPr>
    </w:p>
    <w:p w14:paraId="757861C4" w14:textId="77777777" w:rsidR="00F549D4" w:rsidRDefault="00F549D4" w:rsidP="00B767E4">
      <w:pPr>
        <w:jc w:val="both"/>
      </w:pPr>
      <w:r>
        <w:t>Para efectos de la presente opinión, se entenderá por:</w:t>
      </w:r>
    </w:p>
    <w:p w14:paraId="3E7CAAF0" w14:textId="77777777" w:rsidR="00F549D4" w:rsidRDefault="00F549D4" w:rsidP="00B767E4">
      <w:pPr>
        <w:jc w:val="both"/>
      </w:pPr>
    </w:p>
    <w:p w14:paraId="61B9D8A8" w14:textId="76B91BB1" w:rsidR="001C457E" w:rsidRPr="00F549D4" w:rsidRDefault="00F549D4" w:rsidP="0075266A">
      <w:pPr>
        <w:pStyle w:val="Prrafodelista"/>
        <w:numPr>
          <w:ilvl w:val="0"/>
          <w:numId w:val="2"/>
        </w:numPr>
        <w:ind w:left="567" w:hanging="567"/>
        <w:jc w:val="both"/>
        <w:rPr>
          <w:b/>
        </w:rPr>
      </w:pPr>
      <w:r w:rsidRPr="00F549D4">
        <w:rPr>
          <w:b/>
        </w:rPr>
        <w:t>“</w:t>
      </w:r>
      <w:r w:rsidR="004F1CE4">
        <w:rPr>
          <w:b/>
        </w:rPr>
        <w:t>A</w:t>
      </w:r>
      <w:r w:rsidR="00F229BC">
        <w:rPr>
          <w:b/>
        </w:rPr>
        <w:t xml:space="preserve">nterior </w:t>
      </w:r>
      <w:r w:rsidRPr="00F549D4">
        <w:rPr>
          <w:b/>
        </w:rPr>
        <w:t>Ley”</w:t>
      </w:r>
      <w:r>
        <w:t xml:space="preserve"> a la aprobada mediante </w:t>
      </w:r>
      <w:r w:rsidR="00F229BC">
        <w:t xml:space="preserve">Decreto Legislativo N° 1017, </w:t>
      </w:r>
      <w:r>
        <w:t xml:space="preserve">vigente </w:t>
      </w:r>
      <w:r w:rsidR="006B7624">
        <w:t xml:space="preserve">hasta </w:t>
      </w:r>
      <w:r w:rsidR="00CA7ECA">
        <w:t xml:space="preserve">el </w:t>
      </w:r>
      <w:r w:rsidR="00F229BC">
        <w:t>8 de enero de 2016</w:t>
      </w:r>
      <w:r>
        <w:t>.</w:t>
      </w:r>
    </w:p>
    <w:p w14:paraId="4EA91DB1" w14:textId="5CBA6B17" w:rsidR="00F549D4" w:rsidRPr="00F549D4" w:rsidRDefault="00F549D4" w:rsidP="0075266A">
      <w:pPr>
        <w:pStyle w:val="Prrafodelista"/>
        <w:numPr>
          <w:ilvl w:val="0"/>
          <w:numId w:val="2"/>
        </w:numPr>
        <w:ind w:left="567" w:hanging="567"/>
        <w:jc w:val="both"/>
        <w:rPr>
          <w:b/>
        </w:rPr>
      </w:pPr>
      <w:r>
        <w:rPr>
          <w:b/>
        </w:rPr>
        <w:t>“</w:t>
      </w:r>
      <w:r w:rsidR="004F1CE4">
        <w:rPr>
          <w:b/>
        </w:rPr>
        <w:t>A</w:t>
      </w:r>
      <w:r w:rsidR="00F229BC">
        <w:rPr>
          <w:b/>
        </w:rPr>
        <w:t xml:space="preserve">nterior </w:t>
      </w:r>
      <w:r>
        <w:rPr>
          <w:b/>
        </w:rPr>
        <w:t>Reglamento”</w:t>
      </w:r>
      <w:r>
        <w:t xml:space="preserve"> al aprobado mediante Decreto Supremo N° </w:t>
      </w:r>
      <w:r w:rsidR="00F229BC">
        <w:t>184</w:t>
      </w:r>
      <w:r w:rsidR="00707263">
        <w:t>-</w:t>
      </w:r>
      <w:r w:rsidR="00F229BC">
        <w:t>2008</w:t>
      </w:r>
      <w:r>
        <w:t>-EF,</w:t>
      </w:r>
      <w:r w:rsidR="00405DB7">
        <w:t xml:space="preserve"> </w:t>
      </w:r>
      <w:r>
        <w:t xml:space="preserve">vigente </w:t>
      </w:r>
      <w:r w:rsidR="00405DB7">
        <w:t xml:space="preserve">hasta </w:t>
      </w:r>
      <w:r w:rsidR="00707263">
        <w:t xml:space="preserve">el </w:t>
      </w:r>
      <w:r w:rsidR="00F229BC">
        <w:t xml:space="preserve">8 </w:t>
      </w:r>
      <w:r>
        <w:t>de enero de 201</w:t>
      </w:r>
      <w:r w:rsidR="000C6563">
        <w:t>6</w:t>
      </w:r>
      <w:r>
        <w:t>.</w:t>
      </w:r>
    </w:p>
    <w:p w14:paraId="45F76C47" w14:textId="77777777" w:rsidR="001C457E" w:rsidRDefault="001C457E" w:rsidP="00B767E4">
      <w:pPr>
        <w:jc w:val="both"/>
      </w:pPr>
    </w:p>
    <w:p w14:paraId="6F1A2931" w14:textId="273F8348" w:rsidR="003607D4" w:rsidRDefault="001C457E" w:rsidP="00B767E4">
      <w:pPr>
        <w:jc w:val="both"/>
      </w:pPr>
      <w:r>
        <w:t>La</w:t>
      </w:r>
      <w:r w:rsidR="00BB61A6">
        <w:t xml:space="preserve"> </w:t>
      </w:r>
      <w:r>
        <w:t>consulta</w:t>
      </w:r>
      <w:r w:rsidR="009E5357">
        <w:t xml:space="preserve"> </w:t>
      </w:r>
      <w:r>
        <w:t xml:space="preserve">formulada </w:t>
      </w:r>
      <w:r w:rsidR="00101D41">
        <w:t xml:space="preserve">es </w:t>
      </w:r>
      <w:r>
        <w:t>la siguiente:</w:t>
      </w:r>
    </w:p>
    <w:p w14:paraId="3118C464" w14:textId="77777777" w:rsidR="00B72286" w:rsidRDefault="00B72286" w:rsidP="00B767E4">
      <w:pPr>
        <w:jc w:val="both"/>
      </w:pPr>
    </w:p>
    <w:p w14:paraId="17349050" w14:textId="5414C62B" w:rsidR="009913B4" w:rsidRDefault="0097026C" w:rsidP="009675AD">
      <w:pPr>
        <w:jc w:val="both"/>
      </w:pPr>
      <w:r w:rsidRPr="009675AD">
        <w:rPr>
          <w:b/>
        </w:rPr>
        <w:t>“</w:t>
      </w:r>
      <w:proofErr w:type="gramStart"/>
      <w:r w:rsidR="009675AD">
        <w:rPr>
          <w:b/>
          <w:i/>
        </w:rPr>
        <w:t>¿</w:t>
      </w:r>
      <w:proofErr w:type="gramEnd"/>
      <w:r w:rsidR="009675AD">
        <w:rPr>
          <w:b/>
          <w:i/>
        </w:rPr>
        <w:t>Cuál es el plazo que tiene el contratista para llevar a conciliación o arbitraje las penalidades impuestas si el contrato aún no ha culminado, en el marco del Decreto Legislativo N° 1017 y su Reglamento, aprobado por Decreto Supremo N° 184-2008-EF y sus respectivas modificatorias</w:t>
      </w:r>
      <w:r w:rsidR="00C52048" w:rsidRPr="009675AD">
        <w:rPr>
          <w:b/>
        </w:rPr>
        <w:t>”</w:t>
      </w:r>
      <w:r w:rsidR="00E45190">
        <w:t xml:space="preserve"> (Sic).</w:t>
      </w:r>
    </w:p>
    <w:p w14:paraId="03AFF786" w14:textId="77777777" w:rsidR="00E325B0" w:rsidRDefault="00E325B0" w:rsidP="00E325B0">
      <w:pPr>
        <w:pStyle w:val="Prrafodelista"/>
        <w:ind w:left="567"/>
        <w:jc w:val="both"/>
      </w:pPr>
    </w:p>
    <w:p w14:paraId="35C09248" w14:textId="3D061188" w:rsidR="0061308C" w:rsidRDefault="000563C1" w:rsidP="00552B54">
      <w:pPr>
        <w:pStyle w:val="Prrafodelista"/>
        <w:numPr>
          <w:ilvl w:val="1"/>
          <w:numId w:val="3"/>
        </w:numPr>
        <w:ind w:left="567" w:hanging="567"/>
        <w:jc w:val="both"/>
      </w:pPr>
      <w:r>
        <w:t xml:space="preserve">En principio, </w:t>
      </w:r>
      <w:r w:rsidR="0061308C">
        <w:t xml:space="preserve">debe indicarse que los artículos 165 y 166 del anterior Reglamento </w:t>
      </w:r>
      <w:r w:rsidR="00ED41C2">
        <w:t>regulaban</w:t>
      </w:r>
      <w:r w:rsidR="0061308C">
        <w:t xml:space="preserve"> las penalidades que podían establecerse en los contratos celebrados por las Entidades en el marco de la anterior normativa de contrataciones del Estado, </w:t>
      </w:r>
      <w:r w:rsidR="0061308C">
        <w:lastRenderedPageBreak/>
        <w:t>siendo estas: la penalidad por mora en la ejecución de la prestación y las otras penalidades.</w:t>
      </w:r>
    </w:p>
    <w:p w14:paraId="1652D65C" w14:textId="77777777" w:rsidR="0061308C" w:rsidRDefault="0061308C" w:rsidP="0061308C">
      <w:pPr>
        <w:pStyle w:val="Prrafodelista"/>
        <w:ind w:left="567"/>
        <w:jc w:val="both"/>
      </w:pPr>
    </w:p>
    <w:p w14:paraId="651143C1" w14:textId="081B0483" w:rsidR="009D0C57" w:rsidRDefault="00BD4F7A" w:rsidP="0061308C">
      <w:pPr>
        <w:pStyle w:val="Prrafodelista"/>
        <w:ind w:left="567"/>
        <w:jc w:val="both"/>
      </w:pPr>
      <w:r>
        <w:t xml:space="preserve">En relación con </w:t>
      </w:r>
      <w:r w:rsidR="0061308C">
        <w:t>la penalidad por mora</w:t>
      </w:r>
      <w:r>
        <w:t>, debe mencionarse que esta</w:t>
      </w:r>
      <w:r w:rsidR="0061308C">
        <w:t xml:space="preserve"> era aplicada al contratista ante el retraso injustificado en la ejecución de las prestaciones objeto del contrato, de manera automática, por cada día de atraso, hasta por un monto máximo equivalente al diez por ciento (10%) del monto del contrato vigente o, de ser el caso, del ítem que debió ejecutarse</w:t>
      </w:r>
      <w:r w:rsidR="009D0C57">
        <w:t>.</w:t>
      </w:r>
    </w:p>
    <w:p w14:paraId="4812AF97" w14:textId="77777777" w:rsidR="009D0C57" w:rsidRDefault="009D0C57" w:rsidP="0061308C">
      <w:pPr>
        <w:pStyle w:val="Prrafodelista"/>
        <w:ind w:left="567"/>
        <w:jc w:val="both"/>
      </w:pPr>
    </w:p>
    <w:p w14:paraId="57E926FC" w14:textId="6E46096D" w:rsidR="009D0C57" w:rsidRDefault="00DB7409" w:rsidP="0061308C">
      <w:pPr>
        <w:pStyle w:val="Prrafodelista"/>
        <w:ind w:left="567"/>
        <w:jc w:val="both"/>
      </w:pPr>
      <w:r>
        <w:t>Al respecto</w:t>
      </w:r>
      <w:r w:rsidR="009D0C57">
        <w:t>, es necesario indicar que el artículo 165 del anterior Reglamento establecía la fórmula</w:t>
      </w:r>
      <w:r w:rsidR="009D0C57">
        <w:rPr>
          <w:rStyle w:val="Refdenotaalpie"/>
        </w:rPr>
        <w:footnoteReference w:id="1"/>
      </w:r>
      <w:r w:rsidR="009D0C57">
        <w:t xml:space="preserve"> para la aplicación de la penalidad por mora, la cual tenía como variables al monto y el plazo de la prestación materia de atraso</w:t>
      </w:r>
      <w:r>
        <w:t xml:space="preserve">; </w:t>
      </w:r>
      <w:r w:rsidR="009D0C57">
        <w:t xml:space="preserve">en el caso de contratos que involucraban obligaciones de ejecución periódica, el monto y plazo a ser empleados para el cálculo de la penalidad eran aquellos que correspondían a la prestación parcial que </w:t>
      </w:r>
      <w:r w:rsidR="00CD5809">
        <w:t>era</w:t>
      </w:r>
      <w:r w:rsidR="009D0C57">
        <w:t xml:space="preserve"> materia de retraso</w:t>
      </w:r>
      <w:r w:rsidR="009D0C57">
        <w:rPr>
          <w:rStyle w:val="Refdenotaalpie"/>
        </w:rPr>
        <w:footnoteReference w:id="2"/>
      </w:r>
      <w:r w:rsidR="009D0C57">
        <w:t>.</w:t>
      </w:r>
    </w:p>
    <w:p w14:paraId="0FE7096D" w14:textId="77777777" w:rsidR="009D0C57" w:rsidRDefault="009D0C57" w:rsidP="0061308C">
      <w:pPr>
        <w:pStyle w:val="Prrafodelista"/>
        <w:ind w:left="567"/>
        <w:jc w:val="both"/>
      </w:pPr>
    </w:p>
    <w:p w14:paraId="313CF695" w14:textId="1D7AA198" w:rsidR="0061308C" w:rsidRDefault="007F5A4E" w:rsidP="0061308C">
      <w:pPr>
        <w:pStyle w:val="Prrafodelista"/>
        <w:ind w:left="567"/>
        <w:jc w:val="both"/>
      </w:pPr>
      <w:r>
        <w:t>Asimismo</w:t>
      </w:r>
      <w:r w:rsidR="00DB7409">
        <w:t xml:space="preserve">, es importante tener presente </w:t>
      </w:r>
      <w:r w:rsidR="0061308C">
        <w:t xml:space="preserve">que </w:t>
      </w:r>
      <w:r w:rsidR="00DB7409">
        <w:t xml:space="preserve">la </w:t>
      </w:r>
      <w:r w:rsidR="0061308C" w:rsidRPr="00EA7EC8">
        <w:t>penalidad</w:t>
      </w:r>
      <w:r w:rsidR="00DB7409">
        <w:t xml:space="preserve"> por mora</w:t>
      </w:r>
      <w:r w:rsidR="0061308C" w:rsidRPr="00EA7EC8">
        <w:t xml:space="preserve"> era deducida de</w:t>
      </w:r>
      <w:r w:rsidR="0061308C">
        <w:t xml:space="preserve"> los pagos a cuenta, del pago final o en la liquidación final; o si era necesario se cobraba del monto resultante de la ejecución de las garantías de fiel cumplimiento o por el monto diferencial de propuesta.</w:t>
      </w:r>
    </w:p>
    <w:p w14:paraId="2FACF9C7" w14:textId="77777777" w:rsidR="007B5C32" w:rsidRDefault="007B5C32" w:rsidP="0061308C">
      <w:pPr>
        <w:pStyle w:val="Prrafodelista"/>
        <w:ind w:left="567"/>
        <w:jc w:val="both"/>
      </w:pPr>
    </w:p>
    <w:p w14:paraId="16B053B8" w14:textId="28A829B0" w:rsidR="0061308C" w:rsidRDefault="0061308C" w:rsidP="000C5074">
      <w:pPr>
        <w:pStyle w:val="Prrafodelista"/>
        <w:numPr>
          <w:ilvl w:val="1"/>
          <w:numId w:val="3"/>
        </w:numPr>
        <w:ind w:left="567" w:hanging="567"/>
        <w:jc w:val="both"/>
      </w:pPr>
      <w:r>
        <w:t>Por su parte, el artículo 166 del anterior Reglamento establecía que, además de la penalidad por mora, las Bases podían establecer penalidades distintas, siempre y cuando estas fueran objetivas, razonables y congruentes con el objeto de la convocatoria, hasta por un monto máximo equivalente al diez por ciento (10%) del monto del contrato vigente o, de ser el caso, del ítem que debía ejecutarse.</w:t>
      </w:r>
    </w:p>
    <w:p w14:paraId="39E56ABF" w14:textId="77777777" w:rsidR="0061308C" w:rsidRDefault="0061308C" w:rsidP="0061308C">
      <w:pPr>
        <w:pStyle w:val="Prrafodelista"/>
        <w:ind w:left="567"/>
        <w:jc w:val="both"/>
      </w:pPr>
    </w:p>
    <w:p w14:paraId="22C868D2" w14:textId="63A8BCF9" w:rsidR="0061308C" w:rsidRDefault="0061308C" w:rsidP="0061308C">
      <w:pPr>
        <w:pStyle w:val="Prrafodelista"/>
        <w:ind w:left="567"/>
        <w:jc w:val="both"/>
      </w:pPr>
      <w:r>
        <w:t xml:space="preserve">De esta forma, se tiene que, en el marco de la anterior normativa de contrataciones del Estado, las penalidades que podían aplicársele al contratista eran la penalidad por mora y las otras penalidades, las cuales eran </w:t>
      </w:r>
      <w:r w:rsidRPr="00EA7EC8">
        <w:rPr>
          <w:b/>
          <w:u w:val="single"/>
        </w:rPr>
        <w:t xml:space="preserve">deducidas </w:t>
      </w:r>
      <w:r w:rsidRPr="00CF074B">
        <w:rPr>
          <w:u w:val="single"/>
        </w:rPr>
        <w:t>de</w:t>
      </w:r>
      <w:r w:rsidRPr="00EA7EC8">
        <w:rPr>
          <w:u w:val="single"/>
        </w:rPr>
        <w:t xml:space="preserve"> los pagos a cuenta, del pago final o en la liquidación final del contrato, o de ser necesario, del monto resultante de la ejecución de las garantías de fiel cumplimiento o por el monto diferencial de la propuesta</w:t>
      </w:r>
      <w:r w:rsidR="005425E1">
        <w:rPr>
          <w:rStyle w:val="Refdenotaalpie"/>
          <w:u w:val="single"/>
        </w:rPr>
        <w:footnoteReference w:id="3"/>
      </w:r>
      <w:r>
        <w:t>.</w:t>
      </w:r>
    </w:p>
    <w:p w14:paraId="7D6A1781" w14:textId="77777777" w:rsidR="0061308C" w:rsidRDefault="0061308C" w:rsidP="0061308C">
      <w:pPr>
        <w:pStyle w:val="Prrafodelista"/>
        <w:ind w:left="567"/>
        <w:jc w:val="both"/>
      </w:pPr>
    </w:p>
    <w:p w14:paraId="0D5BA641" w14:textId="18599EA5" w:rsidR="00E325B0" w:rsidRDefault="0061308C" w:rsidP="00552B54">
      <w:pPr>
        <w:pStyle w:val="Prrafodelista"/>
        <w:numPr>
          <w:ilvl w:val="1"/>
          <w:numId w:val="3"/>
        </w:numPr>
        <w:ind w:left="567" w:hanging="567"/>
        <w:jc w:val="both"/>
      </w:pPr>
      <w:r>
        <w:t>Por otro lado,</w:t>
      </w:r>
      <w:r w:rsidR="003B0FE6">
        <w:t xml:space="preserve"> el artículo 52 de la anterior Ley establecía que las controversias que surgían entre las partes </w:t>
      </w:r>
      <w:r w:rsidR="003B0FE6" w:rsidRPr="00D93655">
        <w:rPr>
          <w:b/>
          <w:u w:val="single"/>
        </w:rPr>
        <w:t>sobre</w:t>
      </w:r>
      <w:r w:rsidR="003B0FE6" w:rsidRPr="00897ECC">
        <w:rPr>
          <w:u w:val="single"/>
        </w:rPr>
        <w:t xml:space="preserve"> la </w:t>
      </w:r>
      <w:r w:rsidR="003B0FE6" w:rsidRPr="00D93655">
        <w:rPr>
          <w:u w:val="single"/>
        </w:rPr>
        <w:t>ejecución, interpretación, resolución, inexistencia, ineficacia, nulidad o invalidez del contrato</w:t>
      </w:r>
      <w:r w:rsidR="003B0FE6">
        <w:t>, se resolvían mediante conciliación o arbitraje, según el acuerdo de las partes.</w:t>
      </w:r>
    </w:p>
    <w:p w14:paraId="02430791" w14:textId="77777777" w:rsidR="00EA7EC8" w:rsidRDefault="00EA7EC8" w:rsidP="00EA7EC8">
      <w:pPr>
        <w:pStyle w:val="Prrafodelista"/>
        <w:ind w:left="567"/>
        <w:jc w:val="both"/>
      </w:pPr>
    </w:p>
    <w:p w14:paraId="6085E777" w14:textId="1DFF81D9" w:rsidR="00EA7EC8" w:rsidRDefault="001C745B" w:rsidP="00EA7EC8">
      <w:pPr>
        <w:pStyle w:val="Prrafodelista"/>
        <w:ind w:left="567"/>
        <w:jc w:val="both"/>
      </w:pPr>
      <w:r>
        <w:t>Al respecto, el numeral 52.2 del artículo señalado</w:t>
      </w:r>
      <w:r w:rsidR="00675595">
        <w:t>,</w:t>
      </w:r>
      <w:r>
        <w:t xml:space="preserve"> precisaba que </w:t>
      </w:r>
      <w:r w:rsidRPr="00FB5E12">
        <w:rPr>
          <w:u w:val="single"/>
        </w:rPr>
        <w:t xml:space="preserve">los procedimientos de conciliación y/o arbitraje debían solicitarse </w:t>
      </w:r>
      <w:r w:rsidRPr="00FB5E12">
        <w:rPr>
          <w:b/>
          <w:u w:val="single"/>
        </w:rPr>
        <w:t>en cualquier momento anterior a la fecha de culminación del contrato</w:t>
      </w:r>
      <w:r>
        <w:t>; y</w:t>
      </w:r>
      <w:r w:rsidR="0015375F">
        <w:t>, en el caso de los contratos de servicios —en el contexto de la consulta—</w:t>
      </w:r>
      <w:r>
        <w:t xml:space="preserve">para los </w:t>
      </w:r>
      <w:r w:rsidRPr="0007133B">
        <w:rPr>
          <w:u w:val="single"/>
        </w:rPr>
        <w:t>casos específicos en los que la materia en controversia se refer</w:t>
      </w:r>
      <w:r w:rsidR="001516B5">
        <w:rPr>
          <w:u w:val="single"/>
        </w:rPr>
        <w:t>ía a</w:t>
      </w:r>
      <w:r w:rsidRPr="0007133B">
        <w:rPr>
          <w:u w:val="single"/>
        </w:rPr>
        <w:t>l</w:t>
      </w:r>
      <w:r w:rsidR="001516B5">
        <w:rPr>
          <w:u w:val="single"/>
        </w:rPr>
        <w:t xml:space="preserve"> </w:t>
      </w:r>
      <w:r w:rsidRPr="0007133B">
        <w:rPr>
          <w:u w:val="single"/>
        </w:rPr>
        <w:t>pago</w:t>
      </w:r>
      <w:r w:rsidR="001516B5">
        <w:rPr>
          <w:u w:val="single"/>
        </w:rPr>
        <w:t xml:space="preserve"> final</w:t>
      </w:r>
      <w:r>
        <w:t>, el respectivo procedimiento debía iniciarse dentro de los quince (15) días hábiles siguientes</w:t>
      </w:r>
      <w:r w:rsidR="00FF39FD">
        <w:rPr>
          <w:rStyle w:val="Refdenotaalpie"/>
        </w:rPr>
        <w:footnoteReference w:id="4"/>
      </w:r>
      <w:r>
        <w:t>.</w:t>
      </w:r>
    </w:p>
    <w:p w14:paraId="1D69508C" w14:textId="77777777" w:rsidR="003B0FE6" w:rsidRDefault="003B0FE6" w:rsidP="003B0FE6">
      <w:pPr>
        <w:pStyle w:val="Prrafodelista"/>
        <w:ind w:left="567"/>
        <w:jc w:val="both"/>
      </w:pPr>
    </w:p>
    <w:p w14:paraId="36E63747" w14:textId="5CD17697" w:rsidR="009F75E2" w:rsidRPr="009F75E2" w:rsidRDefault="009F75E2" w:rsidP="003B0FE6">
      <w:pPr>
        <w:pStyle w:val="Prrafodelista"/>
        <w:ind w:left="567"/>
        <w:jc w:val="both"/>
      </w:pPr>
      <w:r>
        <w:t xml:space="preserve">En ese contexto, el plazo con el que contaba el contratista para someter una controversia a conciliación o arbitraje dependía del momento en que esta se originaba. Así por ejemplo, en el caso de la aplicación de las penalidades, si estas eran deducidas </w:t>
      </w:r>
      <w:r w:rsidRPr="00855C71">
        <w:rPr>
          <w:u w:val="single"/>
        </w:rPr>
        <w:t>durante la ejecución del contrato</w:t>
      </w:r>
      <w:r>
        <w:t xml:space="preserve"> (de los pagos a cuenta) </w:t>
      </w:r>
      <w:r w:rsidR="00855C71">
        <w:t>y</w:t>
      </w:r>
      <w:r>
        <w:t xml:space="preserve"> el contratista disentía de su aplicación, podía recurrir a </w:t>
      </w:r>
      <w:r w:rsidR="00855C71">
        <w:t xml:space="preserve">los mencionados mecanismos de solución de controversias hasta antes de la culminación del contrato; por otra parte, si las penalidades eran deducidas </w:t>
      </w:r>
      <w:r w:rsidR="00D313BA">
        <w:t xml:space="preserve">al momento de realizar </w:t>
      </w:r>
      <w:r w:rsidR="00D313BA" w:rsidRPr="00430259">
        <w:t xml:space="preserve">el </w:t>
      </w:r>
      <w:r w:rsidR="00D313BA" w:rsidRPr="00430259">
        <w:rPr>
          <w:u w:val="single"/>
        </w:rPr>
        <w:t>pago final</w:t>
      </w:r>
      <w:r w:rsidR="00855C71">
        <w:t>, el contratista tenía un plazo de quince (15) días hábiles para someter su discrepancia a conciliación o arbitraje.</w:t>
      </w:r>
    </w:p>
    <w:p w14:paraId="34D3BF5A" w14:textId="77777777" w:rsidR="009F75E2" w:rsidRDefault="009F75E2" w:rsidP="003B0FE6">
      <w:pPr>
        <w:pStyle w:val="Prrafodelista"/>
        <w:ind w:left="567"/>
        <w:jc w:val="both"/>
      </w:pPr>
    </w:p>
    <w:p w14:paraId="7FB5A638" w14:textId="24CEADB6" w:rsidR="003B0FE6" w:rsidRPr="000250CF" w:rsidRDefault="000250CF" w:rsidP="003B0FE6">
      <w:pPr>
        <w:pStyle w:val="Prrafodelista"/>
        <w:ind w:left="567"/>
        <w:jc w:val="both"/>
      </w:pPr>
      <w:r>
        <w:t xml:space="preserve">Por tanto, </w:t>
      </w:r>
      <w:r w:rsidR="00685680">
        <w:t xml:space="preserve">en los contratos de servicios celebrados bajo lo dispuesto en </w:t>
      </w:r>
      <w:r>
        <w:t xml:space="preserve">la anterior normativa de contrataciones del Estado, si surgía alguna controversia durante la ejecución del contrato, </w:t>
      </w:r>
      <w:r w:rsidRPr="000250CF">
        <w:t xml:space="preserve">no relacionada </w:t>
      </w:r>
      <w:r w:rsidR="00685680">
        <w:t>al pago final</w:t>
      </w:r>
      <w:r>
        <w:t>, ésta podía ser sometida a arbitraje o conciliación en cualquier momento hasta antes de la fecha de culminación del contrato.</w:t>
      </w:r>
    </w:p>
    <w:p w14:paraId="68133CE0" w14:textId="77777777" w:rsidR="008662A7" w:rsidRPr="008662A7" w:rsidRDefault="008662A7" w:rsidP="008662A7">
      <w:pPr>
        <w:pStyle w:val="Prrafodelista"/>
        <w:ind w:left="567"/>
        <w:jc w:val="both"/>
      </w:pPr>
    </w:p>
    <w:p w14:paraId="13A5E53C" w14:textId="39BFB357" w:rsidR="003607D4" w:rsidRPr="003C5C71" w:rsidRDefault="007F1BE2" w:rsidP="0075266A">
      <w:pPr>
        <w:pStyle w:val="Prrafodelista"/>
        <w:numPr>
          <w:ilvl w:val="0"/>
          <w:numId w:val="1"/>
        </w:numPr>
        <w:ind w:left="567" w:hanging="567"/>
        <w:jc w:val="both"/>
        <w:rPr>
          <w:b/>
        </w:rPr>
      </w:pPr>
      <w:r>
        <w:rPr>
          <w:b/>
        </w:rPr>
        <w:t>CONCLUSIÓN</w:t>
      </w:r>
    </w:p>
    <w:p w14:paraId="5E57FC1F" w14:textId="77777777" w:rsidR="003607D4" w:rsidRDefault="003607D4" w:rsidP="00B767E4">
      <w:pPr>
        <w:jc w:val="both"/>
      </w:pPr>
    </w:p>
    <w:p w14:paraId="7DFC006C" w14:textId="54333920" w:rsidR="0096355D" w:rsidRDefault="00C20099" w:rsidP="00AE7664">
      <w:pPr>
        <w:jc w:val="both"/>
      </w:pPr>
      <w:r>
        <w:t xml:space="preserve">En los contratos de servicios celebrados bajo lo dispuesto en la anterior normativa de contrataciones del Estado, si surgía alguna controversia durante la ejecución del contrato, </w:t>
      </w:r>
      <w:r w:rsidRPr="000250CF">
        <w:t xml:space="preserve">no relacionada </w:t>
      </w:r>
      <w:r>
        <w:t>al pago final, ésta podía ser sometida a arbitraje o conciliación en cualquier momento hasta antes de la fecha de culminación del contrato.</w:t>
      </w:r>
    </w:p>
    <w:p w14:paraId="5229D2D6" w14:textId="6401B393" w:rsidR="0096355D" w:rsidRDefault="0096355D" w:rsidP="00B767E4">
      <w:pPr>
        <w:jc w:val="both"/>
      </w:pPr>
    </w:p>
    <w:p w14:paraId="3ED4D650" w14:textId="3565C1A7" w:rsidR="003607D4" w:rsidRDefault="0097026C" w:rsidP="00CF074B">
      <w:pPr>
        <w:jc w:val="right"/>
      </w:pPr>
      <w:r>
        <w:t xml:space="preserve">Jesús María, </w:t>
      </w:r>
      <w:r w:rsidR="00287B29">
        <w:t xml:space="preserve">23 </w:t>
      </w:r>
      <w:bookmarkStart w:id="0" w:name="_GoBack"/>
      <w:bookmarkEnd w:id="0"/>
      <w:r>
        <w:t xml:space="preserve">de </w:t>
      </w:r>
      <w:r w:rsidR="00CF074B">
        <w:t xml:space="preserve">octubre </w:t>
      </w:r>
      <w:r w:rsidR="00CE0D00">
        <w:t>de 2019</w:t>
      </w:r>
    </w:p>
    <w:p w14:paraId="062E96DA" w14:textId="77777777" w:rsidR="003607D4" w:rsidRDefault="003607D4" w:rsidP="00B767E4">
      <w:pPr>
        <w:jc w:val="both"/>
      </w:pPr>
    </w:p>
    <w:p w14:paraId="445DF03A" w14:textId="77777777" w:rsidR="003607D4" w:rsidRDefault="003607D4" w:rsidP="00B767E4">
      <w:pPr>
        <w:spacing w:line="276" w:lineRule="auto"/>
        <w:jc w:val="center"/>
        <w:rPr>
          <w:b/>
        </w:rPr>
      </w:pPr>
    </w:p>
    <w:p w14:paraId="1AE826D9" w14:textId="77777777" w:rsidR="00B87F51" w:rsidRDefault="00B87F51" w:rsidP="00B767E4">
      <w:pPr>
        <w:spacing w:line="276" w:lineRule="auto"/>
        <w:jc w:val="center"/>
        <w:rPr>
          <w:b/>
        </w:rPr>
      </w:pPr>
    </w:p>
    <w:p w14:paraId="62D5C266" w14:textId="77777777" w:rsidR="003607D4" w:rsidRDefault="0097026C" w:rsidP="00B767E4">
      <w:pPr>
        <w:spacing w:line="276" w:lineRule="auto"/>
        <w:jc w:val="center"/>
      </w:pPr>
      <w:r>
        <w:rPr>
          <w:b/>
        </w:rPr>
        <w:t>PATRICIA SEMINARIO ZAVALA</w:t>
      </w:r>
    </w:p>
    <w:p w14:paraId="3D8FC162" w14:textId="77777777" w:rsidR="003607D4" w:rsidRDefault="0097026C" w:rsidP="00B767E4">
      <w:pPr>
        <w:spacing w:line="276" w:lineRule="auto"/>
        <w:jc w:val="center"/>
        <w:rPr>
          <w:b/>
        </w:rPr>
      </w:pPr>
      <w:r>
        <w:rPr>
          <w:b/>
        </w:rPr>
        <w:t>Directora Técnico Normativa</w:t>
      </w:r>
    </w:p>
    <w:p w14:paraId="6194BA2C" w14:textId="2C463A4A" w:rsidR="00BE7915" w:rsidRPr="00BE7915" w:rsidRDefault="00DA0413" w:rsidP="00B767E4">
      <w:pPr>
        <w:spacing w:line="276" w:lineRule="auto"/>
        <w:rPr>
          <w:lang w:val="es-PE"/>
        </w:rPr>
      </w:pPr>
      <w:r>
        <w:t>RAC</w:t>
      </w:r>
      <w:r w:rsidR="0097026C">
        <w:t>/JDS</w:t>
      </w:r>
    </w:p>
    <w:sectPr w:rsidR="00BE7915" w:rsidRPr="00BE7915" w:rsidSect="00B72286">
      <w:headerReference w:type="default" r:id="rId8"/>
      <w:headerReference w:type="first" r:id="rId9"/>
      <w:pgSz w:w="11906" w:h="16838"/>
      <w:pgMar w:top="1644" w:right="1701" w:bottom="1134" w:left="1695"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1E24A" w14:textId="77777777" w:rsidR="00F456FF" w:rsidRDefault="00F456FF">
      <w:r>
        <w:separator/>
      </w:r>
    </w:p>
  </w:endnote>
  <w:endnote w:type="continuationSeparator" w:id="0">
    <w:p w14:paraId="248AC752" w14:textId="77777777" w:rsidR="00F456FF" w:rsidRDefault="00F4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F4540" w14:textId="77777777" w:rsidR="00F456FF" w:rsidRDefault="00F456FF">
      <w:r>
        <w:separator/>
      </w:r>
    </w:p>
  </w:footnote>
  <w:footnote w:type="continuationSeparator" w:id="0">
    <w:p w14:paraId="73048F9D" w14:textId="77777777" w:rsidR="00F456FF" w:rsidRDefault="00F456FF">
      <w:r>
        <w:continuationSeparator/>
      </w:r>
    </w:p>
  </w:footnote>
  <w:footnote w:id="1">
    <w:p w14:paraId="76BFAC4B" w14:textId="0360F97C" w:rsidR="009D0C57" w:rsidRPr="00AE7664" w:rsidRDefault="009D0C57" w:rsidP="00D351E6">
      <w:pPr>
        <w:pStyle w:val="Textonotapie"/>
        <w:ind w:left="284" w:hanging="284"/>
        <w:jc w:val="both"/>
        <w:rPr>
          <w:sz w:val="18"/>
        </w:rPr>
      </w:pPr>
      <w:r>
        <w:rPr>
          <w:rStyle w:val="Refdenotaalpie"/>
        </w:rPr>
        <w:footnoteRef/>
      </w:r>
      <w:r>
        <w:t xml:space="preserve"> </w:t>
      </w:r>
      <w:r w:rsidR="00D351E6">
        <w:tab/>
      </w:r>
      <w:r w:rsidRPr="00AE7664">
        <w:rPr>
          <w:sz w:val="18"/>
        </w:rPr>
        <w:t>El artículo 165 del anterior Reglamento establecía lo siguiente:</w:t>
      </w:r>
    </w:p>
    <w:p w14:paraId="7DE1728A" w14:textId="4B051858" w:rsidR="009D0C57" w:rsidRPr="00AE7664" w:rsidRDefault="009D0C57" w:rsidP="00D351E6">
      <w:pPr>
        <w:pStyle w:val="Textonotapie"/>
        <w:ind w:left="284"/>
        <w:jc w:val="both"/>
        <w:rPr>
          <w:i/>
          <w:sz w:val="18"/>
        </w:rPr>
      </w:pPr>
      <w:r w:rsidRPr="00AE7664">
        <w:rPr>
          <w:sz w:val="18"/>
        </w:rPr>
        <w:t>“</w:t>
      </w:r>
      <w:r w:rsidRPr="00AE7664">
        <w:rPr>
          <w:i/>
          <w:sz w:val="18"/>
        </w:rPr>
        <w:t>En todos los casos, la penalidad se aplicará automáticamente y se calculará de acuerdo con la siguiente fórmula:</w:t>
      </w:r>
    </w:p>
    <w:p w14:paraId="788CC240" w14:textId="5480213E" w:rsidR="009D0C57" w:rsidRPr="00AE7664" w:rsidRDefault="009D0C57" w:rsidP="00D351E6">
      <w:pPr>
        <w:pStyle w:val="Textonotapie"/>
        <w:ind w:left="284" w:hanging="284"/>
        <w:jc w:val="both"/>
        <w:rPr>
          <w:i/>
          <w:sz w:val="18"/>
        </w:rPr>
      </w:pPr>
      <m:oMathPara>
        <m:oMathParaPr>
          <m:jc m:val="left"/>
        </m:oMathParaPr>
        <m:oMath>
          <m:r>
            <w:rPr>
              <w:rFonts w:ascii="Cambria Math" w:hAnsi="Cambria Math" w:cs="Cambria Math"/>
              <w:sz w:val="18"/>
            </w:rPr>
            <m:t>Penalidad diaria</m:t>
          </m:r>
          <m:r>
            <m:rPr>
              <m:sty m:val="p"/>
            </m:rPr>
            <w:rPr>
              <w:rFonts w:ascii="Cambria Math" w:hAnsi="Cambria Math" w:cs="Cambria Math"/>
              <w:sz w:val="18"/>
            </w:rPr>
            <m:t>=</m:t>
          </m:r>
          <m:f>
            <m:fPr>
              <m:ctrlPr>
                <w:rPr>
                  <w:rFonts w:ascii="Cambria Math" w:hAnsi="Cambria Math"/>
                  <w:sz w:val="18"/>
                </w:rPr>
              </m:ctrlPr>
            </m:fPr>
            <m:num>
              <m:r>
                <w:rPr>
                  <w:rFonts w:ascii="Cambria Math" w:hAnsi="Cambria Math" w:cs="Cambria Math"/>
                  <w:sz w:val="18"/>
                </w:rPr>
                <m:t>0.10 x Monto</m:t>
              </m:r>
            </m:num>
            <m:den>
              <m:r>
                <w:rPr>
                  <w:rFonts w:ascii="Cambria Math" w:hAnsi="Cambria Math" w:cs="Cambria Math"/>
                  <w:sz w:val="18"/>
                </w:rPr>
                <m:t>F x Plazo en días</m:t>
              </m:r>
            </m:den>
          </m:f>
        </m:oMath>
      </m:oMathPara>
    </w:p>
    <w:p w14:paraId="2C6140A6" w14:textId="77777777" w:rsidR="009D0E9F" w:rsidRPr="00AE7664" w:rsidRDefault="009D0E9F" w:rsidP="00D351E6">
      <w:pPr>
        <w:pStyle w:val="Textonotapie"/>
        <w:ind w:left="284" w:hanging="284"/>
        <w:jc w:val="both"/>
        <w:rPr>
          <w:i/>
          <w:sz w:val="18"/>
        </w:rPr>
      </w:pPr>
    </w:p>
    <w:p w14:paraId="29F9F20E" w14:textId="77C9307F" w:rsidR="009D0E9F" w:rsidRPr="00AE7664" w:rsidRDefault="009D0E9F" w:rsidP="00D351E6">
      <w:pPr>
        <w:pStyle w:val="Textonotapie"/>
        <w:ind w:left="284"/>
        <w:jc w:val="both"/>
        <w:rPr>
          <w:i/>
          <w:sz w:val="18"/>
        </w:rPr>
      </w:pPr>
      <w:r w:rsidRPr="00AE7664">
        <w:rPr>
          <w:i/>
          <w:sz w:val="18"/>
        </w:rPr>
        <w:t>Donde F tendrá los siguientes valores:</w:t>
      </w:r>
    </w:p>
    <w:p w14:paraId="2DAD98BC" w14:textId="0783B62C" w:rsidR="009D0E9F" w:rsidRPr="00AE7664" w:rsidRDefault="009D0E9F" w:rsidP="00D351E6">
      <w:pPr>
        <w:pStyle w:val="Textonotapie"/>
        <w:ind w:left="284"/>
        <w:jc w:val="both"/>
        <w:rPr>
          <w:i/>
          <w:sz w:val="18"/>
        </w:rPr>
      </w:pPr>
      <w:r w:rsidRPr="00AE7664">
        <w:rPr>
          <w:i/>
          <w:sz w:val="18"/>
        </w:rPr>
        <w:t>a) Para plazos menores o iguales a sesenta (60) días, para bienes, servicios y ejecución de obras: F = 0.40</w:t>
      </w:r>
    </w:p>
    <w:p w14:paraId="096F224E" w14:textId="0C58C61D" w:rsidR="009D0E9F" w:rsidRPr="00AE7664" w:rsidRDefault="009D0E9F" w:rsidP="00D351E6">
      <w:pPr>
        <w:pStyle w:val="Textonotapie"/>
        <w:ind w:left="284"/>
        <w:jc w:val="both"/>
        <w:rPr>
          <w:i/>
          <w:sz w:val="18"/>
        </w:rPr>
      </w:pPr>
      <w:r w:rsidRPr="00AE7664">
        <w:rPr>
          <w:i/>
          <w:sz w:val="18"/>
        </w:rPr>
        <w:t>b) Para plazos mayores a sesenta (60) días:</w:t>
      </w:r>
    </w:p>
    <w:p w14:paraId="422B25DF" w14:textId="43E5FE65" w:rsidR="009D0E9F" w:rsidRPr="00AE7664" w:rsidRDefault="009D0E9F" w:rsidP="00D351E6">
      <w:pPr>
        <w:pStyle w:val="Textonotapie"/>
        <w:ind w:left="284"/>
        <w:jc w:val="both"/>
        <w:rPr>
          <w:i/>
          <w:sz w:val="18"/>
        </w:rPr>
      </w:pPr>
      <w:r w:rsidRPr="00AE7664">
        <w:rPr>
          <w:i/>
          <w:sz w:val="18"/>
        </w:rPr>
        <w:t>b.1) Para bienes y servicios: F = 0.25.</w:t>
      </w:r>
    </w:p>
    <w:p w14:paraId="1C820AD3" w14:textId="695D35F1" w:rsidR="009D0E9F" w:rsidRPr="00AE7664" w:rsidRDefault="009D0E9F" w:rsidP="00D351E6">
      <w:pPr>
        <w:pStyle w:val="Textonotapie"/>
        <w:ind w:left="284"/>
        <w:jc w:val="both"/>
        <w:rPr>
          <w:i/>
          <w:sz w:val="18"/>
        </w:rPr>
      </w:pPr>
      <w:r w:rsidRPr="00AE7664">
        <w:rPr>
          <w:i/>
          <w:sz w:val="18"/>
        </w:rPr>
        <w:t>b.2) Para obras: F = 0.15.</w:t>
      </w:r>
    </w:p>
    <w:p w14:paraId="22E284A2" w14:textId="77777777" w:rsidR="00FC26AE" w:rsidRPr="009D0C57" w:rsidRDefault="00FC26AE" w:rsidP="00AE7664">
      <w:pPr>
        <w:pStyle w:val="Textonotapie"/>
        <w:ind w:left="284" w:hanging="284"/>
        <w:jc w:val="both"/>
        <w:rPr>
          <w:i/>
        </w:rPr>
      </w:pPr>
    </w:p>
  </w:footnote>
  <w:footnote w:id="2">
    <w:p w14:paraId="5E84C506" w14:textId="3A4FB13C" w:rsidR="009D0C57" w:rsidRPr="00AE7664" w:rsidRDefault="009D0C57" w:rsidP="00AE7664">
      <w:pPr>
        <w:pStyle w:val="Textonotapie"/>
        <w:ind w:left="284" w:hanging="284"/>
        <w:jc w:val="both"/>
        <w:rPr>
          <w:sz w:val="18"/>
        </w:rPr>
      </w:pPr>
      <w:r>
        <w:rPr>
          <w:rStyle w:val="Refdenotaalpie"/>
        </w:rPr>
        <w:footnoteRef/>
      </w:r>
      <w:r>
        <w:t xml:space="preserve"> </w:t>
      </w:r>
      <w:r w:rsidR="00D351E6">
        <w:tab/>
      </w:r>
      <w:r w:rsidR="00FC26AE" w:rsidRPr="00AE7664">
        <w:rPr>
          <w:sz w:val="18"/>
        </w:rPr>
        <w:t xml:space="preserve">Resulta pertinente precisar que, </w:t>
      </w:r>
      <w:r w:rsidR="006E15A3" w:rsidRPr="00AE7664">
        <w:rPr>
          <w:sz w:val="18"/>
        </w:rPr>
        <w:t>según lo dispuesto en</w:t>
      </w:r>
      <w:r w:rsidR="00FC26AE" w:rsidRPr="00AE7664">
        <w:rPr>
          <w:sz w:val="18"/>
        </w:rPr>
        <w:t xml:space="preserve"> la anterior normativa de contrataciones del Estado </w:t>
      </w:r>
      <w:r w:rsidR="006E15A3" w:rsidRPr="00AE7664">
        <w:rPr>
          <w:sz w:val="18"/>
        </w:rPr>
        <w:t>podía aplicarse la penalidad por mora ante el retraso injustificado en el cumplimiento de las prestaciones parciales pactadas en el marco de un contrato de ejecución periódica.</w:t>
      </w:r>
    </w:p>
    <w:p w14:paraId="4322312C" w14:textId="038774C6" w:rsidR="006E15A3" w:rsidRPr="00AE7664" w:rsidRDefault="006E15A3" w:rsidP="00D351E6">
      <w:pPr>
        <w:pStyle w:val="Textonotapie"/>
        <w:ind w:left="284"/>
        <w:jc w:val="both"/>
        <w:rPr>
          <w:sz w:val="18"/>
        </w:rPr>
      </w:pPr>
      <w:r w:rsidRPr="00AE7664">
        <w:rPr>
          <w:sz w:val="18"/>
        </w:rPr>
        <w:t>Por otra parte, en el marco de los contratos de ejecución única que podían involucrar la presentación de entregables, no era posible aplicar la penalidad por mora ante el retraso en la presentación de dichos entregables.</w:t>
      </w:r>
    </w:p>
    <w:p w14:paraId="0109CF78" w14:textId="70CC192A" w:rsidR="006E15A3" w:rsidRPr="009D0C57" w:rsidRDefault="00D351E6" w:rsidP="00AE7664">
      <w:pPr>
        <w:pStyle w:val="Textonotapie"/>
        <w:ind w:left="284" w:hanging="284"/>
        <w:jc w:val="both"/>
      </w:pPr>
      <w:r w:rsidRPr="00AE7664">
        <w:rPr>
          <w:sz w:val="18"/>
        </w:rPr>
        <w:tab/>
      </w:r>
      <w:r w:rsidR="00C44B5E" w:rsidRPr="00AE7664">
        <w:rPr>
          <w:sz w:val="18"/>
        </w:rPr>
        <w:t>Respecto de</w:t>
      </w:r>
      <w:r w:rsidR="006E15A3" w:rsidRPr="00AE7664">
        <w:rPr>
          <w:sz w:val="18"/>
        </w:rPr>
        <w:t xml:space="preserve"> la aplicación de la penalidad por mora en los contratos de ejecución periódica y la diferenciación de estos contratos respecto de aquellos de ejecución única que pudieran involucrar la presentación de entregables, se </w:t>
      </w:r>
      <w:r w:rsidR="00C44B5E" w:rsidRPr="00AE7664">
        <w:rPr>
          <w:sz w:val="18"/>
        </w:rPr>
        <w:t>han emitido sendas Opiniones, tales como la</w:t>
      </w:r>
      <w:r w:rsidR="006E15A3" w:rsidRPr="00AE7664">
        <w:rPr>
          <w:sz w:val="18"/>
        </w:rPr>
        <w:t xml:space="preserve"> Opini</w:t>
      </w:r>
      <w:r w:rsidR="00C44B5E" w:rsidRPr="00AE7664">
        <w:rPr>
          <w:sz w:val="18"/>
        </w:rPr>
        <w:t>ón N° 061-2019/DTN, N° 010-2018/DTN, N° 204-2017/DTN.</w:t>
      </w:r>
    </w:p>
  </w:footnote>
  <w:footnote w:id="3">
    <w:p w14:paraId="5B668B46" w14:textId="04888636" w:rsidR="005425E1" w:rsidRPr="00AE7664" w:rsidRDefault="005425E1" w:rsidP="00D351E6">
      <w:pPr>
        <w:pStyle w:val="Textonotapie"/>
        <w:ind w:left="284" w:hanging="284"/>
        <w:jc w:val="both"/>
        <w:rPr>
          <w:sz w:val="18"/>
          <w:lang w:val="es-PE"/>
        </w:rPr>
      </w:pPr>
      <w:r>
        <w:rPr>
          <w:rStyle w:val="Refdenotaalpie"/>
        </w:rPr>
        <w:footnoteRef/>
      </w:r>
      <w:r>
        <w:t xml:space="preserve"> </w:t>
      </w:r>
      <w:r w:rsidR="00C0585B">
        <w:tab/>
      </w:r>
      <w:r w:rsidRPr="00AE7664">
        <w:rPr>
          <w:sz w:val="18"/>
          <w:lang w:val="es-PE"/>
        </w:rPr>
        <w:t>Como puede apreciarse, la anterior normativa de contrataciones del Estado</w:t>
      </w:r>
      <w:r w:rsidR="00C95715" w:rsidRPr="00AE7664">
        <w:rPr>
          <w:sz w:val="18"/>
          <w:lang w:val="es-PE"/>
        </w:rPr>
        <w:t xml:space="preserve"> establecía que la deducción de las penalidades podía realizarse en distintos momentos de la ejecución del contrato, </w:t>
      </w:r>
      <w:r w:rsidR="007E0C1F" w:rsidRPr="00AE7664">
        <w:rPr>
          <w:sz w:val="18"/>
          <w:lang w:val="es-PE"/>
        </w:rPr>
        <w:t>ya sea en el transcurso de la ejecución del contrato o al momento de efectuar el pago final</w:t>
      </w:r>
      <w:r w:rsidRPr="00AE7664">
        <w:rPr>
          <w:sz w:val="18"/>
          <w:lang w:val="es-PE"/>
        </w:rPr>
        <w:t>.</w:t>
      </w:r>
    </w:p>
    <w:p w14:paraId="643FD345" w14:textId="77777777" w:rsidR="00FF39FD" w:rsidRPr="005425E1" w:rsidRDefault="00FF39FD" w:rsidP="00D351E6">
      <w:pPr>
        <w:pStyle w:val="Textonotapie"/>
        <w:ind w:left="284" w:hanging="284"/>
        <w:jc w:val="both"/>
        <w:rPr>
          <w:lang w:val="es-PE"/>
        </w:rPr>
      </w:pPr>
    </w:p>
  </w:footnote>
  <w:footnote w:id="4">
    <w:p w14:paraId="63285A0C" w14:textId="04A139C7" w:rsidR="00FF39FD" w:rsidRPr="00AE7664" w:rsidRDefault="00FF39FD" w:rsidP="00D351E6">
      <w:pPr>
        <w:pStyle w:val="Textonotapie"/>
        <w:ind w:left="284" w:hanging="284"/>
        <w:jc w:val="both"/>
        <w:rPr>
          <w:sz w:val="18"/>
        </w:rPr>
      </w:pPr>
      <w:r>
        <w:rPr>
          <w:rStyle w:val="Refdenotaalpie"/>
        </w:rPr>
        <w:footnoteRef/>
      </w:r>
      <w:r>
        <w:t xml:space="preserve"> </w:t>
      </w:r>
      <w:r>
        <w:tab/>
      </w:r>
      <w:r w:rsidRPr="00AE7664">
        <w:rPr>
          <w:sz w:val="18"/>
        </w:rPr>
        <w:t>El numeral 52.2 del artículo 52 de la anterior Ley establecía lo siguiente:</w:t>
      </w:r>
    </w:p>
    <w:p w14:paraId="685C89C8" w14:textId="6605B943" w:rsidR="00FF39FD" w:rsidRPr="00FF39FD" w:rsidRDefault="00FF39FD" w:rsidP="00D351E6">
      <w:pPr>
        <w:pStyle w:val="Textonotapie"/>
        <w:ind w:left="284"/>
        <w:jc w:val="both"/>
        <w:rPr>
          <w:lang w:val="es-PE"/>
        </w:rPr>
      </w:pPr>
      <w:r w:rsidRPr="00AE7664">
        <w:rPr>
          <w:sz w:val="18"/>
        </w:rPr>
        <w:t>“</w:t>
      </w:r>
      <w:r w:rsidRPr="00AE7664">
        <w:rPr>
          <w:i/>
          <w:sz w:val="18"/>
        </w:rPr>
        <w:t xml:space="preserve">Los procedimiento de conciliación y/o arbitraje deben solicitarse en cualquier momento anterior a la fecha de culminación del contrato. Para los casos específicos en los que la materia en controversia se refiera a nulidad de contrato, resolución de contrato, ampliación de plazo contractual, recepción y conformidad de la prestación, valorizaciones o </w:t>
      </w:r>
      <w:proofErr w:type="spellStart"/>
      <w:r w:rsidRPr="00AE7664">
        <w:rPr>
          <w:i/>
          <w:sz w:val="18"/>
        </w:rPr>
        <w:t>metrados</w:t>
      </w:r>
      <w:proofErr w:type="spellEnd"/>
      <w:r w:rsidRPr="00AE7664">
        <w:rPr>
          <w:i/>
          <w:sz w:val="18"/>
        </w:rPr>
        <w:t xml:space="preserve">, liquidación del contrato y pago, se debe iniciar el respectivo procedimiento dentro del plazo de quince (15) días hábiles conforme lo señalado en el reglamento. </w:t>
      </w:r>
      <w:r w:rsidRPr="00AE7664">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3743" w14:textId="77777777" w:rsidR="00F456FF" w:rsidRDefault="00F456FF">
    <w:pPr>
      <w:tabs>
        <w:tab w:val="center" w:pos="4252"/>
        <w:tab w:val="right" w:pos="8504"/>
      </w:tabs>
      <w:spacing w:before="1021"/>
      <w:jc w:val="center"/>
      <w:rPr>
        <w:sz w:val="20"/>
        <w:szCs w:val="20"/>
      </w:rPr>
    </w:pPr>
    <w:r>
      <w:rPr>
        <w:sz w:val="20"/>
        <w:szCs w:val="20"/>
      </w:rPr>
      <w:fldChar w:fldCharType="begin"/>
    </w:r>
    <w:r>
      <w:rPr>
        <w:sz w:val="20"/>
        <w:szCs w:val="20"/>
      </w:rPr>
      <w:instrText>PAGE</w:instrText>
    </w:r>
    <w:r>
      <w:rPr>
        <w:sz w:val="20"/>
        <w:szCs w:val="20"/>
      </w:rPr>
      <w:fldChar w:fldCharType="separate"/>
    </w:r>
    <w:r w:rsidR="00287B29">
      <w:rPr>
        <w:noProof/>
        <w:sz w:val="20"/>
        <w:szCs w:val="20"/>
      </w:rPr>
      <w:t>2</w:t>
    </w:r>
    <w:r>
      <w:rPr>
        <w:sz w:val="20"/>
        <w:szCs w:val="20"/>
      </w:rPr>
      <w:fldChar w:fldCharType="end"/>
    </w:r>
  </w:p>
  <w:p w14:paraId="3B0610C8" w14:textId="77777777" w:rsidR="00F456FF" w:rsidRDefault="00F456FF">
    <w:pPr>
      <w:tabs>
        <w:tab w:val="center" w:pos="4252"/>
        <w:tab w:val="right" w:pos="8504"/>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0717C" w14:textId="77777777" w:rsidR="00F456FF" w:rsidRDefault="00F456FF">
    <w:pPr>
      <w:tabs>
        <w:tab w:val="center" w:pos="4252"/>
        <w:tab w:val="right" w:pos="8504"/>
      </w:tabs>
      <w:ind w:right="-1136"/>
      <w:rPr>
        <w:rFonts w:ascii="Calibri" w:eastAsia="Calibri" w:hAnsi="Calibri" w:cs="Calibri"/>
        <w:b/>
        <w:sz w:val="22"/>
        <w:szCs w:val="22"/>
      </w:rPr>
    </w:pPr>
    <w:r>
      <w:rPr>
        <w:noProof/>
        <w:lang w:val="es-PE"/>
      </w:rPr>
      <w:drawing>
        <wp:anchor distT="0" distB="0" distL="0" distR="0" simplePos="0" relativeHeight="251658240" behindDoc="0" locked="0" layoutInCell="1" hidden="0" allowOverlap="1" wp14:anchorId="0CD87553" wp14:editId="67199FE8">
          <wp:simplePos x="0" y="0"/>
          <wp:positionH relativeFrom="margin">
            <wp:posOffset>3219450</wp:posOffset>
          </wp:positionH>
          <wp:positionV relativeFrom="paragraph">
            <wp:posOffset>142875</wp:posOffset>
          </wp:positionV>
          <wp:extent cx="2419350" cy="85725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67226" t="10891"/>
                  <a:stretch>
                    <a:fillRect/>
                  </a:stretch>
                </pic:blipFill>
                <pic:spPr>
                  <a:xfrm>
                    <a:off x="0" y="0"/>
                    <a:ext cx="2419350" cy="857250"/>
                  </a:xfrm>
                  <a:prstGeom prst="rect">
                    <a:avLst/>
                  </a:prstGeom>
                  <a:ln/>
                </pic:spPr>
              </pic:pic>
            </a:graphicData>
          </a:graphic>
        </wp:anchor>
      </w:drawing>
    </w:r>
  </w:p>
  <w:p w14:paraId="242E579F" w14:textId="77777777" w:rsidR="00F456FF" w:rsidRDefault="00F456FF">
    <w:pPr>
      <w:tabs>
        <w:tab w:val="center" w:pos="4252"/>
        <w:tab w:val="right" w:pos="8504"/>
      </w:tabs>
      <w:ind w:right="-1136"/>
      <w:rPr>
        <w:rFonts w:ascii="Calibri" w:eastAsia="Calibri" w:hAnsi="Calibri" w:cs="Calibri"/>
        <w:b/>
        <w:sz w:val="22"/>
        <w:szCs w:val="22"/>
      </w:rPr>
    </w:pPr>
  </w:p>
  <w:p w14:paraId="20E443BC" w14:textId="77777777" w:rsidR="00F456FF" w:rsidRDefault="00F456FF">
    <w:pPr>
      <w:tabs>
        <w:tab w:val="center" w:pos="4252"/>
        <w:tab w:val="right" w:pos="8504"/>
      </w:tabs>
      <w:ind w:right="-1136"/>
      <w:rPr>
        <w:rFonts w:ascii="Calibri" w:eastAsia="Calibri" w:hAnsi="Calibri" w:cs="Calibri"/>
        <w:b/>
        <w:sz w:val="22"/>
        <w:szCs w:val="22"/>
      </w:rPr>
    </w:pPr>
  </w:p>
  <w:p w14:paraId="70073605" w14:textId="77777777" w:rsidR="00F456FF" w:rsidRDefault="00F456FF">
    <w:pPr>
      <w:tabs>
        <w:tab w:val="center" w:pos="4252"/>
        <w:tab w:val="right" w:pos="8504"/>
      </w:tabs>
      <w:ind w:right="-1136"/>
      <w:rPr>
        <w:rFonts w:ascii="Calibri" w:eastAsia="Calibri" w:hAnsi="Calibri" w:cs="Calibri"/>
        <w:b/>
        <w:sz w:val="22"/>
        <w:szCs w:val="22"/>
      </w:rPr>
    </w:pPr>
    <w:r>
      <w:rPr>
        <w:rFonts w:ascii="Calibri" w:eastAsia="Calibri" w:hAnsi="Calibri" w:cs="Calibri"/>
        <w:b/>
        <w:sz w:val="22"/>
        <w:szCs w:val="22"/>
      </w:rPr>
      <w:t>Dirección Técnico Normativa</w:t>
    </w:r>
  </w:p>
  <w:p w14:paraId="5FB05CE5" w14:textId="77777777" w:rsidR="00F456FF" w:rsidRDefault="00F456FF">
    <w:pPr>
      <w:tabs>
        <w:tab w:val="center" w:pos="4252"/>
        <w:tab w:val="right" w:pos="8504"/>
      </w:tabs>
      <w:ind w:right="-1136"/>
      <w:rPr>
        <w:rFonts w:ascii="Calibri" w:eastAsia="Calibri" w:hAnsi="Calibri" w:cs="Calibri"/>
        <w:sz w:val="22"/>
        <w:szCs w:val="22"/>
      </w:rPr>
    </w:pPr>
    <w:r>
      <w:rPr>
        <w:rFonts w:ascii="Calibri" w:eastAsia="Calibri" w:hAnsi="Calibri" w:cs="Calibri"/>
        <w:sz w:val="22"/>
        <w:szCs w:val="22"/>
      </w:rPr>
      <w:t>Opinión</w:t>
    </w:r>
  </w:p>
  <w:p w14:paraId="0BE8996E" w14:textId="77777777" w:rsidR="00F456FF" w:rsidRDefault="00F456FF">
    <w:pPr>
      <w:tabs>
        <w:tab w:val="center" w:pos="4252"/>
        <w:tab w:val="right" w:pos="8504"/>
      </w:tabs>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87DA6"/>
    <w:multiLevelType w:val="hybridMultilevel"/>
    <w:tmpl w:val="366E7D4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7CF4C92"/>
    <w:multiLevelType w:val="hybridMultilevel"/>
    <w:tmpl w:val="F8CEA35A"/>
    <w:lvl w:ilvl="0" w:tplc="280A0017">
      <w:start w:val="1"/>
      <w:numFmt w:val="lowerLetter"/>
      <w:lvlText w:val="%1)"/>
      <w:lvlJc w:val="left"/>
      <w:pPr>
        <w:ind w:left="1572" w:hanging="360"/>
      </w:pPr>
      <w:rPr>
        <w:rFonts w:hint="default"/>
      </w:rPr>
    </w:lvl>
    <w:lvl w:ilvl="1" w:tplc="280A0019" w:tentative="1">
      <w:start w:val="1"/>
      <w:numFmt w:val="lowerLetter"/>
      <w:lvlText w:val="%2."/>
      <w:lvlJc w:val="left"/>
      <w:pPr>
        <w:ind w:left="2292" w:hanging="360"/>
      </w:pPr>
    </w:lvl>
    <w:lvl w:ilvl="2" w:tplc="280A001B" w:tentative="1">
      <w:start w:val="1"/>
      <w:numFmt w:val="lowerRoman"/>
      <w:lvlText w:val="%3."/>
      <w:lvlJc w:val="right"/>
      <w:pPr>
        <w:ind w:left="3012" w:hanging="180"/>
      </w:pPr>
    </w:lvl>
    <w:lvl w:ilvl="3" w:tplc="280A000F" w:tentative="1">
      <w:start w:val="1"/>
      <w:numFmt w:val="decimal"/>
      <w:lvlText w:val="%4."/>
      <w:lvlJc w:val="left"/>
      <w:pPr>
        <w:ind w:left="3732" w:hanging="360"/>
      </w:pPr>
    </w:lvl>
    <w:lvl w:ilvl="4" w:tplc="280A0019" w:tentative="1">
      <w:start w:val="1"/>
      <w:numFmt w:val="lowerLetter"/>
      <w:lvlText w:val="%5."/>
      <w:lvlJc w:val="left"/>
      <w:pPr>
        <w:ind w:left="4452" w:hanging="360"/>
      </w:pPr>
    </w:lvl>
    <w:lvl w:ilvl="5" w:tplc="280A001B" w:tentative="1">
      <w:start w:val="1"/>
      <w:numFmt w:val="lowerRoman"/>
      <w:lvlText w:val="%6."/>
      <w:lvlJc w:val="right"/>
      <w:pPr>
        <w:ind w:left="5172" w:hanging="180"/>
      </w:pPr>
    </w:lvl>
    <w:lvl w:ilvl="6" w:tplc="280A000F" w:tentative="1">
      <w:start w:val="1"/>
      <w:numFmt w:val="decimal"/>
      <w:lvlText w:val="%7."/>
      <w:lvlJc w:val="left"/>
      <w:pPr>
        <w:ind w:left="5892" w:hanging="360"/>
      </w:pPr>
    </w:lvl>
    <w:lvl w:ilvl="7" w:tplc="280A0019" w:tentative="1">
      <w:start w:val="1"/>
      <w:numFmt w:val="lowerLetter"/>
      <w:lvlText w:val="%8."/>
      <w:lvlJc w:val="left"/>
      <w:pPr>
        <w:ind w:left="6612" w:hanging="360"/>
      </w:pPr>
    </w:lvl>
    <w:lvl w:ilvl="8" w:tplc="280A001B" w:tentative="1">
      <w:start w:val="1"/>
      <w:numFmt w:val="lowerRoman"/>
      <w:lvlText w:val="%9."/>
      <w:lvlJc w:val="right"/>
      <w:pPr>
        <w:ind w:left="7332" w:hanging="180"/>
      </w:pPr>
    </w:lvl>
  </w:abstractNum>
  <w:abstractNum w:abstractNumId="2" w15:restartNumberingAfterBreak="0">
    <w:nsid w:val="4FB52B16"/>
    <w:multiLevelType w:val="hybridMultilevel"/>
    <w:tmpl w:val="275A1DDA"/>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 w15:restartNumberingAfterBreak="0">
    <w:nsid w:val="65552772"/>
    <w:multiLevelType w:val="multilevel"/>
    <w:tmpl w:val="03624318"/>
    <w:lvl w:ilvl="0">
      <w:start w:val="1"/>
      <w:numFmt w:val="decimal"/>
      <w:lvlText w:val="%1."/>
      <w:lvlJc w:val="left"/>
      <w:pPr>
        <w:ind w:left="927" w:hanging="360"/>
      </w:pPr>
      <w:rPr>
        <w:rFonts w:ascii="Times New Roman" w:eastAsia="Times New Roman" w:hAnsi="Times New Roman" w:cs="Times New Roman"/>
        <w:b/>
        <w:vertAlign w:val="baseline"/>
      </w:rPr>
    </w:lvl>
    <w:lvl w:ilvl="1">
      <w:start w:val="1"/>
      <w:numFmt w:val="decimal"/>
      <w:lvlText w:val="%1.%2"/>
      <w:lvlJc w:val="left"/>
      <w:pPr>
        <w:ind w:left="1124" w:hanging="840"/>
      </w:pPr>
      <w:rPr>
        <w:b/>
        <w:i w:val="0"/>
        <w:color w:val="000000"/>
        <w:vertAlign w:val="baseline"/>
      </w:rPr>
    </w:lvl>
    <w:lvl w:ilvl="2">
      <w:start w:val="1"/>
      <w:numFmt w:val="decimal"/>
      <w:lvlText w:val="%1.%2.%3"/>
      <w:lvlJc w:val="left"/>
      <w:pPr>
        <w:ind w:left="1124" w:hanging="840"/>
      </w:pPr>
      <w:rPr>
        <w:i w:val="0"/>
        <w:color w:val="000000"/>
        <w:vertAlign w:val="baseline"/>
      </w:rPr>
    </w:lvl>
    <w:lvl w:ilvl="3">
      <w:start w:val="1"/>
      <w:numFmt w:val="decimal"/>
      <w:lvlText w:val="%1.%2.%3.%4"/>
      <w:lvlJc w:val="left"/>
      <w:pPr>
        <w:ind w:left="1407" w:hanging="840"/>
      </w:pPr>
      <w:rPr>
        <w:vertAlign w:val="baseline"/>
      </w:rPr>
    </w:lvl>
    <w:lvl w:ilvl="4">
      <w:start w:val="1"/>
      <w:numFmt w:val="decimal"/>
      <w:lvlText w:val="%1.%2.%3.%4.%5"/>
      <w:lvlJc w:val="left"/>
      <w:pPr>
        <w:ind w:left="1647" w:hanging="1080"/>
      </w:pPr>
      <w:rPr>
        <w:vertAlign w:val="baseline"/>
      </w:rPr>
    </w:lvl>
    <w:lvl w:ilvl="5">
      <w:start w:val="1"/>
      <w:numFmt w:val="decimal"/>
      <w:lvlText w:val="%1.%2.%3.%4.%5.%6"/>
      <w:lvlJc w:val="left"/>
      <w:pPr>
        <w:ind w:left="1647" w:hanging="1080"/>
      </w:pPr>
      <w:rPr>
        <w:vertAlign w:val="baseline"/>
      </w:rPr>
    </w:lvl>
    <w:lvl w:ilvl="6">
      <w:start w:val="1"/>
      <w:numFmt w:val="decimal"/>
      <w:lvlText w:val="%1.%2.%3.%4.%5.%6.%7"/>
      <w:lvlJc w:val="left"/>
      <w:pPr>
        <w:ind w:left="2007" w:hanging="1440"/>
      </w:pPr>
      <w:rPr>
        <w:vertAlign w:val="baseline"/>
      </w:rPr>
    </w:lvl>
    <w:lvl w:ilvl="7">
      <w:start w:val="1"/>
      <w:numFmt w:val="decimal"/>
      <w:lvlText w:val="%1.%2.%3.%4.%5.%6.%7.%8"/>
      <w:lvlJc w:val="left"/>
      <w:pPr>
        <w:ind w:left="2007" w:hanging="1440"/>
      </w:pPr>
      <w:rPr>
        <w:vertAlign w:val="baseline"/>
      </w:rPr>
    </w:lvl>
    <w:lvl w:ilvl="8">
      <w:start w:val="1"/>
      <w:numFmt w:val="decimal"/>
      <w:lvlText w:val="%1.%2.%3.%4.%5.%6.%7.%8.%9"/>
      <w:lvlJc w:val="left"/>
      <w:pPr>
        <w:ind w:left="2367" w:hanging="1800"/>
      </w:pPr>
      <w:rPr>
        <w:vertAlign w:val="baseline"/>
      </w:rPr>
    </w:lvl>
  </w:abstractNum>
  <w:abstractNum w:abstractNumId="4" w15:restartNumberingAfterBreak="0">
    <w:nsid w:val="66A46C3B"/>
    <w:multiLevelType w:val="multilevel"/>
    <w:tmpl w:val="2F8EE3D0"/>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6807232C"/>
    <w:multiLevelType w:val="hybridMultilevel"/>
    <w:tmpl w:val="EE20E00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6" w15:restartNumberingAfterBreak="0">
    <w:nsid w:val="683D4B29"/>
    <w:multiLevelType w:val="hybridMultilevel"/>
    <w:tmpl w:val="3B34BB1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C53552D"/>
    <w:multiLevelType w:val="multilevel"/>
    <w:tmpl w:val="D91A7B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7"/>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es-ES" w:vendorID="64" w:dllVersion="131078" w:nlCheck="1" w:checkStyle="0"/>
  <w:activeWritingStyle w:appName="MSWord" w:lang="es-PE"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D4"/>
    <w:rsid w:val="00005619"/>
    <w:rsid w:val="00006DF0"/>
    <w:rsid w:val="000129D6"/>
    <w:rsid w:val="0001318C"/>
    <w:rsid w:val="00014707"/>
    <w:rsid w:val="00015940"/>
    <w:rsid w:val="00015F9C"/>
    <w:rsid w:val="00024297"/>
    <w:rsid w:val="000250CF"/>
    <w:rsid w:val="00026E87"/>
    <w:rsid w:val="0002794F"/>
    <w:rsid w:val="000333AE"/>
    <w:rsid w:val="0003561F"/>
    <w:rsid w:val="0004256B"/>
    <w:rsid w:val="000428D9"/>
    <w:rsid w:val="0004471B"/>
    <w:rsid w:val="00050B97"/>
    <w:rsid w:val="0005418D"/>
    <w:rsid w:val="00055E31"/>
    <w:rsid w:val="000563C1"/>
    <w:rsid w:val="00056C53"/>
    <w:rsid w:val="00056EB0"/>
    <w:rsid w:val="000613D5"/>
    <w:rsid w:val="0006417C"/>
    <w:rsid w:val="000642A9"/>
    <w:rsid w:val="0007133B"/>
    <w:rsid w:val="0007312B"/>
    <w:rsid w:val="00077E5E"/>
    <w:rsid w:val="00080C64"/>
    <w:rsid w:val="0008484D"/>
    <w:rsid w:val="0008653D"/>
    <w:rsid w:val="000931BA"/>
    <w:rsid w:val="000940D5"/>
    <w:rsid w:val="000961FA"/>
    <w:rsid w:val="00096EC8"/>
    <w:rsid w:val="000A0120"/>
    <w:rsid w:val="000A15DC"/>
    <w:rsid w:val="000A1E0F"/>
    <w:rsid w:val="000A2640"/>
    <w:rsid w:val="000A41EA"/>
    <w:rsid w:val="000A516A"/>
    <w:rsid w:val="000A7D28"/>
    <w:rsid w:val="000B004C"/>
    <w:rsid w:val="000B1284"/>
    <w:rsid w:val="000B184B"/>
    <w:rsid w:val="000B1D41"/>
    <w:rsid w:val="000B2A04"/>
    <w:rsid w:val="000B4095"/>
    <w:rsid w:val="000C2815"/>
    <w:rsid w:val="000C3B8A"/>
    <w:rsid w:val="000C5074"/>
    <w:rsid w:val="000C5260"/>
    <w:rsid w:val="000C6563"/>
    <w:rsid w:val="000C6745"/>
    <w:rsid w:val="000C6C09"/>
    <w:rsid w:val="000C7494"/>
    <w:rsid w:val="000D0A0E"/>
    <w:rsid w:val="000D1CFC"/>
    <w:rsid w:val="000D3A7D"/>
    <w:rsid w:val="000D63A0"/>
    <w:rsid w:val="000E0A59"/>
    <w:rsid w:val="000E3DC4"/>
    <w:rsid w:val="000E46CA"/>
    <w:rsid w:val="000E6040"/>
    <w:rsid w:val="000E676E"/>
    <w:rsid w:val="000E6D9C"/>
    <w:rsid w:val="000F354E"/>
    <w:rsid w:val="000F600C"/>
    <w:rsid w:val="000F752B"/>
    <w:rsid w:val="00100873"/>
    <w:rsid w:val="00101D41"/>
    <w:rsid w:val="00101FF4"/>
    <w:rsid w:val="00102069"/>
    <w:rsid w:val="00103185"/>
    <w:rsid w:val="00106B70"/>
    <w:rsid w:val="0010722C"/>
    <w:rsid w:val="00107C86"/>
    <w:rsid w:val="00107E26"/>
    <w:rsid w:val="001116D5"/>
    <w:rsid w:val="00112CBF"/>
    <w:rsid w:val="00112E88"/>
    <w:rsid w:val="00113CA3"/>
    <w:rsid w:val="001141B2"/>
    <w:rsid w:val="00114549"/>
    <w:rsid w:val="001156BB"/>
    <w:rsid w:val="001159BF"/>
    <w:rsid w:val="00115C3E"/>
    <w:rsid w:val="001200F0"/>
    <w:rsid w:val="00122848"/>
    <w:rsid w:val="00123351"/>
    <w:rsid w:val="0012504E"/>
    <w:rsid w:val="001253D2"/>
    <w:rsid w:val="001254BA"/>
    <w:rsid w:val="00130485"/>
    <w:rsid w:val="00132E00"/>
    <w:rsid w:val="001340E2"/>
    <w:rsid w:val="00134502"/>
    <w:rsid w:val="00136264"/>
    <w:rsid w:val="001401EE"/>
    <w:rsid w:val="00141A63"/>
    <w:rsid w:val="001420CF"/>
    <w:rsid w:val="00143ED8"/>
    <w:rsid w:val="00145CB3"/>
    <w:rsid w:val="001468D1"/>
    <w:rsid w:val="001476B0"/>
    <w:rsid w:val="00147881"/>
    <w:rsid w:val="00147D0F"/>
    <w:rsid w:val="00147E53"/>
    <w:rsid w:val="00147F1A"/>
    <w:rsid w:val="001513E0"/>
    <w:rsid w:val="001516B5"/>
    <w:rsid w:val="0015375F"/>
    <w:rsid w:val="00153C05"/>
    <w:rsid w:val="001600AC"/>
    <w:rsid w:val="00160B68"/>
    <w:rsid w:val="00162F24"/>
    <w:rsid w:val="00166263"/>
    <w:rsid w:val="00167554"/>
    <w:rsid w:val="001677E7"/>
    <w:rsid w:val="00170971"/>
    <w:rsid w:val="001720D9"/>
    <w:rsid w:val="00172120"/>
    <w:rsid w:val="00174136"/>
    <w:rsid w:val="00174147"/>
    <w:rsid w:val="0018084F"/>
    <w:rsid w:val="00181110"/>
    <w:rsid w:val="00182720"/>
    <w:rsid w:val="001829A1"/>
    <w:rsid w:val="00184510"/>
    <w:rsid w:val="001864AD"/>
    <w:rsid w:val="001864C0"/>
    <w:rsid w:val="00186879"/>
    <w:rsid w:val="0019152B"/>
    <w:rsid w:val="00192201"/>
    <w:rsid w:val="00192EA6"/>
    <w:rsid w:val="00195F9B"/>
    <w:rsid w:val="00197502"/>
    <w:rsid w:val="001976DA"/>
    <w:rsid w:val="001A34CA"/>
    <w:rsid w:val="001A7D37"/>
    <w:rsid w:val="001B0A07"/>
    <w:rsid w:val="001B355A"/>
    <w:rsid w:val="001B45CA"/>
    <w:rsid w:val="001B5B37"/>
    <w:rsid w:val="001B5E88"/>
    <w:rsid w:val="001B7366"/>
    <w:rsid w:val="001C0962"/>
    <w:rsid w:val="001C097B"/>
    <w:rsid w:val="001C0C0A"/>
    <w:rsid w:val="001C26D2"/>
    <w:rsid w:val="001C43F7"/>
    <w:rsid w:val="001C457E"/>
    <w:rsid w:val="001C745B"/>
    <w:rsid w:val="001C7F4C"/>
    <w:rsid w:val="001D1C44"/>
    <w:rsid w:val="001E01A9"/>
    <w:rsid w:val="001E3822"/>
    <w:rsid w:val="001E7BBB"/>
    <w:rsid w:val="001F0537"/>
    <w:rsid w:val="001F2AF2"/>
    <w:rsid w:val="001F3EEC"/>
    <w:rsid w:val="001F433B"/>
    <w:rsid w:val="001F576B"/>
    <w:rsid w:val="001F79FE"/>
    <w:rsid w:val="00201D22"/>
    <w:rsid w:val="00203101"/>
    <w:rsid w:val="00203296"/>
    <w:rsid w:val="00205C65"/>
    <w:rsid w:val="00211DB7"/>
    <w:rsid w:val="00213B37"/>
    <w:rsid w:val="00214F9D"/>
    <w:rsid w:val="00215226"/>
    <w:rsid w:val="00215AD3"/>
    <w:rsid w:val="00217AEA"/>
    <w:rsid w:val="00217CC3"/>
    <w:rsid w:val="00220DA7"/>
    <w:rsid w:val="002226AC"/>
    <w:rsid w:val="00224379"/>
    <w:rsid w:val="00224B49"/>
    <w:rsid w:val="002259DC"/>
    <w:rsid w:val="00225DDF"/>
    <w:rsid w:val="002311DC"/>
    <w:rsid w:val="00234BB8"/>
    <w:rsid w:val="00234CB3"/>
    <w:rsid w:val="002354DE"/>
    <w:rsid w:val="002503DD"/>
    <w:rsid w:val="00252411"/>
    <w:rsid w:val="00253576"/>
    <w:rsid w:val="00253F10"/>
    <w:rsid w:val="00254625"/>
    <w:rsid w:val="00256BCB"/>
    <w:rsid w:val="002570ED"/>
    <w:rsid w:val="0026033C"/>
    <w:rsid w:val="002649D4"/>
    <w:rsid w:val="00264B2D"/>
    <w:rsid w:val="00264F6D"/>
    <w:rsid w:val="00271253"/>
    <w:rsid w:val="00271E05"/>
    <w:rsid w:val="002732DC"/>
    <w:rsid w:val="00274FA7"/>
    <w:rsid w:val="00276068"/>
    <w:rsid w:val="00276C70"/>
    <w:rsid w:val="002802FD"/>
    <w:rsid w:val="00282BEF"/>
    <w:rsid w:val="00284268"/>
    <w:rsid w:val="002861F5"/>
    <w:rsid w:val="00286321"/>
    <w:rsid w:val="00287B29"/>
    <w:rsid w:val="002909CE"/>
    <w:rsid w:val="00293778"/>
    <w:rsid w:val="00296D21"/>
    <w:rsid w:val="00297368"/>
    <w:rsid w:val="002A0C8D"/>
    <w:rsid w:val="002A19EA"/>
    <w:rsid w:val="002A3A4E"/>
    <w:rsid w:val="002A3CCC"/>
    <w:rsid w:val="002A4428"/>
    <w:rsid w:val="002A7FBE"/>
    <w:rsid w:val="002B104E"/>
    <w:rsid w:val="002B1D24"/>
    <w:rsid w:val="002B61D2"/>
    <w:rsid w:val="002B6EE8"/>
    <w:rsid w:val="002B73EC"/>
    <w:rsid w:val="002B7581"/>
    <w:rsid w:val="002B7EBE"/>
    <w:rsid w:val="002C0529"/>
    <w:rsid w:val="002C2608"/>
    <w:rsid w:val="002C40C7"/>
    <w:rsid w:val="002C611B"/>
    <w:rsid w:val="002C6835"/>
    <w:rsid w:val="002D07F5"/>
    <w:rsid w:val="002D5921"/>
    <w:rsid w:val="002D5D7B"/>
    <w:rsid w:val="002D74E4"/>
    <w:rsid w:val="002E01B8"/>
    <w:rsid w:val="002E2402"/>
    <w:rsid w:val="002E602C"/>
    <w:rsid w:val="002E6BC4"/>
    <w:rsid w:val="002F0409"/>
    <w:rsid w:val="002F0AE0"/>
    <w:rsid w:val="002F4798"/>
    <w:rsid w:val="002F534B"/>
    <w:rsid w:val="002F743F"/>
    <w:rsid w:val="00300147"/>
    <w:rsid w:val="00300CEB"/>
    <w:rsid w:val="00300D2E"/>
    <w:rsid w:val="00303066"/>
    <w:rsid w:val="003031AE"/>
    <w:rsid w:val="00303634"/>
    <w:rsid w:val="003048CB"/>
    <w:rsid w:val="003069CE"/>
    <w:rsid w:val="003116D4"/>
    <w:rsid w:val="00312E0B"/>
    <w:rsid w:val="003138C0"/>
    <w:rsid w:val="00313944"/>
    <w:rsid w:val="00314392"/>
    <w:rsid w:val="003148A6"/>
    <w:rsid w:val="00316ABE"/>
    <w:rsid w:val="00317A83"/>
    <w:rsid w:val="00320072"/>
    <w:rsid w:val="003232BB"/>
    <w:rsid w:val="003266AA"/>
    <w:rsid w:val="00334602"/>
    <w:rsid w:val="0034064A"/>
    <w:rsid w:val="00341DB1"/>
    <w:rsid w:val="0034290A"/>
    <w:rsid w:val="00344838"/>
    <w:rsid w:val="0035141E"/>
    <w:rsid w:val="00352E45"/>
    <w:rsid w:val="003549FA"/>
    <w:rsid w:val="003607D4"/>
    <w:rsid w:val="00361346"/>
    <w:rsid w:val="003659D6"/>
    <w:rsid w:val="00365EE1"/>
    <w:rsid w:val="00366640"/>
    <w:rsid w:val="00366BC1"/>
    <w:rsid w:val="003678BB"/>
    <w:rsid w:val="0037033C"/>
    <w:rsid w:val="0037184D"/>
    <w:rsid w:val="003749A1"/>
    <w:rsid w:val="0037597E"/>
    <w:rsid w:val="003759C5"/>
    <w:rsid w:val="0038243C"/>
    <w:rsid w:val="00382CF7"/>
    <w:rsid w:val="00386D59"/>
    <w:rsid w:val="003921A0"/>
    <w:rsid w:val="00392DB5"/>
    <w:rsid w:val="00393A99"/>
    <w:rsid w:val="0039530A"/>
    <w:rsid w:val="00395F9B"/>
    <w:rsid w:val="00396DEA"/>
    <w:rsid w:val="00396E32"/>
    <w:rsid w:val="003A01BE"/>
    <w:rsid w:val="003A27A4"/>
    <w:rsid w:val="003A3F8D"/>
    <w:rsid w:val="003A5D47"/>
    <w:rsid w:val="003B0032"/>
    <w:rsid w:val="003B0FE6"/>
    <w:rsid w:val="003B2E76"/>
    <w:rsid w:val="003B37F8"/>
    <w:rsid w:val="003C2681"/>
    <w:rsid w:val="003C288E"/>
    <w:rsid w:val="003C4191"/>
    <w:rsid w:val="003C5562"/>
    <w:rsid w:val="003C5C71"/>
    <w:rsid w:val="003D0BFC"/>
    <w:rsid w:val="003D27AB"/>
    <w:rsid w:val="003D4C1B"/>
    <w:rsid w:val="003D51F8"/>
    <w:rsid w:val="003D5256"/>
    <w:rsid w:val="003E1704"/>
    <w:rsid w:val="003E1E39"/>
    <w:rsid w:val="003E786D"/>
    <w:rsid w:val="003F3B28"/>
    <w:rsid w:val="003F7C62"/>
    <w:rsid w:val="004011D6"/>
    <w:rsid w:val="00402236"/>
    <w:rsid w:val="00405DB7"/>
    <w:rsid w:val="004075FB"/>
    <w:rsid w:val="00410F54"/>
    <w:rsid w:val="0041364D"/>
    <w:rsid w:val="004203EC"/>
    <w:rsid w:val="00423DAA"/>
    <w:rsid w:val="00424500"/>
    <w:rsid w:val="00424841"/>
    <w:rsid w:val="00426BF5"/>
    <w:rsid w:val="00426C79"/>
    <w:rsid w:val="00430259"/>
    <w:rsid w:val="00432F8B"/>
    <w:rsid w:val="004337C2"/>
    <w:rsid w:val="00440304"/>
    <w:rsid w:val="00442BF3"/>
    <w:rsid w:val="004443F6"/>
    <w:rsid w:val="00450347"/>
    <w:rsid w:val="00451650"/>
    <w:rsid w:val="00451B3C"/>
    <w:rsid w:val="00453135"/>
    <w:rsid w:val="00456828"/>
    <w:rsid w:val="00457709"/>
    <w:rsid w:val="004602A4"/>
    <w:rsid w:val="0046068C"/>
    <w:rsid w:val="00460B85"/>
    <w:rsid w:val="00460F12"/>
    <w:rsid w:val="00465251"/>
    <w:rsid w:val="0046572C"/>
    <w:rsid w:val="00466B92"/>
    <w:rsid w:val="0047126F"/>
    <w:rsid w:val="00471937"/>
    <w:rsid w:val="00472E79"/>
    <w:rsid w:val="004731BE"/>
    <w:rsid w:val="004748E2"/>
    <w:rsid w:val="00482FE6"/>
    <w:rsid w:val="004839AE"/>
    <w:rsid w:val="00483CFC"/>
    <w:rsid w:val="00484E51"/>
    <w:rsid w:val="0048509B"/>
    <w:rsid w:val="004905A2"/>
    <w:rsid w:val="004907A0"/>
    <w:rsid w:val="00490843"/>
    <w:rsid w:val="00490B78"/>
    <w:rsid w:val="00492100"/>
    <w:rsid w:val="00492689"/>
    <w:rsid w:val="00492740"/>
    <w:rsid w:val="004956F0"/>
    <w:rsid w:val="00495830"/>
    <w:rsid w:val="00495C54"/>
    <w:rsid w:val="004A39D9"/>
    <w:rsid w:val="004A4968"/>
    <w:rsid w:val="004A53CA"/>
    <w:rsid w:val="004A5C31"/>
    <w:rsid w:val="004A647C"/>
    <w:rsid w:val="004A7B06"/>
    <w:rsid w:val="004B0278"/>
    <w:rsid w:val="004B2FC7"/>
    <w:rsid w:val="004B65B9"/>
    <w:rsid w:val="004B76E7"/>
    <w:rsid w:val="004C205D"/>
    <w:rsid w:val="004C3A5B"/>
    <w:rsid w:val="004C75F3"/>
    <w:rsid w:val="004D1A64"/>
    <w:rsid w:val="004D203E"/>
    <w:rsid w:val="004D3007"/>
    <w:rsid w:val="004D542A"/>
    <w:rsid w:val="004D7021"/>
    <w:rsid w:val="004E52C3"/>
    <w:rsid w:val="004E551A"/>
    <w:rsid w:val="004E726A"/>
    <w:rsid w:val="004E7ECE"/>
    <w:rsid w:val="004E7FB2"/>
    <w:rsid w:val="004F1640"/>
    <w:rsid w:val="004F1CE4"/>
    <w:rsid w:val="004F3383"/>
    <w:rsid w:val="004F4A33"/>
    <w:rsid w:val="004F57FE"/>
    <w:rsid w:val="00501A27"/>
    <w:rsid w:val="00503D92"/>
    <w:rsid w:val="00505DA2"/>
    <w:rsid w:val="00506CF4"/>
    <w:rsid w:val="00511443"/>
    <w:rsid w:val="005119E0"/>
    <w:rsid w:val="00512705"/>
    <w:rsid w:val="00512B82"/>
    <w:rsid w:val="0052018E"/>
    <w:rsid w:val="00522B99"/>
    <w:rsid w:val="00526F73"/>
    <w:rsid w:val="0053197C"/>
    <w:rsid w:val="0053219B"/>
    <w:rsid w:val="00532B23"/>
    <w:rsid w:val="00532CCB"/>
    <w:rsid w:val="0053604F"/>
    <w:rsid w:val="0053731B"/>
    <w:rsid w:val="005403E1"/>
    <w:rsid w:val="005425E1"/>
    <w:rsid w:val="005432D0"/>
    <w:rsid w:val="00543C23"/>
    <w:rsid w:val="00544820"/>
    <w:rsid w:val="00547F48"/>
    <w:rsid w:val="00550108"/>
    <w:rsid w:val="005526F3"/>
    <w:rsid w:val="00552B54"/>
    <w:rsid w:val="00553F81"/>
    <w:rsid w:val="005544F6"/>
    <w:rsid w:val="00556EA4"/>
    <w:rsid w:val="00561806"/>
    <w:rsid w:val="0056393B"/>
    <w:rsid w:val="00564E3A"/>
    <w:rsid w:val="005704AC"/>
    <w:rsid w:val="005713C3"/>
    <w:rsid w:val="00574619"/>
    <w:rsid w:val="005767AF"/>
    <w:rsid w:val="005776B6"/>
    <w:rsid w:val="0057772F"/>
    <w:rsid w:val="0057781E"/>
    <w:rsid w:val="00580A89"/>
    <w:rsid w:val="00581BD3"/>
    <w:rsid w:val="0058295F"/>
    <w:rsid w:val="00590B89"/>
    <w:rsid w:val="005915CB"/>
    <w:rsid w:val="00592249"/>
    <w:rsid w:val="00594C73"/>
    <w:rsid w:val="005957EB"/>
    <w:rsid w:val="005A0911"/>
    <w:rsid w:val="005A1957"/>
    <w:rsid w:val="005A1F05"/>
    <w:rsid w:val="005A2886"/>
    <w:rsid w:val="005A6EA3"/>
    <w:rsid w:val="005B0B5F"/>
    <w:rsid w:val="005B0FFC"/>
    <w:rsid w:val="005B4455"/>
    <w:rsid w:val="005B51B3"/>
    <w:rsid w:val="005B64F1"/>
    <w:rsid w:val="005B6AE2"/>
    <w:rsid w:val="005C45F4"/>
    <w:rsid w:val="005C5E71"/>
    <w:rsid w:val="005C6D87"/>
    <w:rsid w:val="005D1F0A"/>
    <w:rsid w:val="005D21C1"/>
    <w:rsid w:val="005D3031"/>
    <w:rsid w:val="005D3190"/>
    <w:rsid w:val="005D6D84"/>
    <w:rsid w:val="005D7ECE"/>
    <w:rsid w:val="005E0456"/>
    <w:rsid w:val="005E2BC6"/>
    <w:rsid w:val="005E38D6"/>
    <w:rsid w:val="005F06EC"/>
    <w:rsid w:val="005F10D8"/>
    <w:rsid w:val="005F4DFC"/>
    <w:rsid w:val="005F5282"/>
    <w:rsid w:val="005F74FE"/>
    <w:rsid w:val="00603AB2"/>
    <w:rsid w:val="00604436"/>
    <w:rsid w:val="00605B7F"/>
    <w:rsid w:val="0061308C"/>
    <w:rsid w:val="00620D80"/>
    <w:rsid w:val="006239C9"/>
    <w:rsid w:val="006247EE"/>
    <w:rsid w:val="006251BA"/>
    <w:rsid w:val="00625BC8"/>
    <w:rsid w:val="00626901"/>
    <w:rsid w:val="00627BB7"/>
    <w:rsid w:val="00631064"/>
    <w:rsid w:val="00635EF5"/>
    <w:rsid w:val="00636188"/>
    <w:rsid w:val="00637897"/>
    <w:rsid w:val="00643D68"/>
    <w:rsid w:val="006442F0"/>
    <w:rsid w:val="00644EF7"/>
    <w:rsid w:val="00645DED"/>
    <w:rsid w:val="00646650"/>
    <w:rsid w:val="006505D2"/>
    <w:rsid w:val="00657EA7"/>
    <w:rsid w:val="00662551"/>
    <w:rsid w:val="00663852"/>
    <w:rsid w:val="006658D0"/>
    <w:rsid w:val="00665C07"/>
    <w:rsid w:val="006679F8"/>
    <w:rsid w:val="006713AF"/>
    <w:rsid w:val="0067164E"/>
    <w:rsid w:val="0067248C"/>
    <w:rsid w:val="00672CEC"/>
    <w:rsid w:val="00673745"/>
    <w:rsid w:val="0067553E"/>
    <w:rsid w:val="00675595"/>
    <w:rsid w:val="00681B28"/>
    <w:rsid w:val="00685680"/>
    <w:rsid w:val="0068600F"/>
    <w:rsid w:val="00686C1B"/>
    <w:rsid w:val="006878FE"/>
    <w:rsid w:val="00695067"/>
    <w:rsid w:val="00697089"/>
    <w:rsid w:val="006A0058"/>
    <w:rsid w:val="006A2777"/>
    <w:rsid w:val="006A6BC5"/>
    <w:rsid w:val="006A6EA5"/>
    <w:rsid w:val="006B07DB"/>
    <w:rsid w:val="006B3BC3"/>
    <w:rsid w:val="006B7624"/>
    <w:rsid w:val="006C114D"/>
    <w:rsid w:val="006C2E7F"/>
    <w:rsid w:val="006C715E"/>
    <w:rsid w:val="006D258E"/>
    <w:rsid w:val="006D2654"/>
    <w:rsid w:val="006D65C3"/>
    <w:rsid w:val="006E0F36"/>
    <w:rsid w:val="006E15A3"/>
    <w:rsid w:val="006E54E4"/>
    <w:rsid w:val="006E771E"/>
    <w:rsid w:val="006F03CF"/>
    <w:rsid w:val="006F12A0"/>
    <w:rsid w:val="006F1AC0"/>
    <w:rsid w:val="006F53C8"/>
    <w:rsid w:val="006F5ED5"/>
    <w:rsid w:val="006F64F8"/>
    <w:rsid w:val="006F6D91"/>
    <w:rsid w:val="007007AE"/>
    <w:rsid w:val="00704541"/>
    <w:rsid w:val="00707263"/>
    <w:rsid w:val="00707E5E"/>
    <w:rsid w:val="00712CC5"/>
    <w:rsid w:val="007143C4"/>
    <w:rsid w:val="00714693"/>
    <w:rsid w:val="00715382"/>
    <w:rsid w:val="00716608"/>
    <w:rsid w:val="00721942"/>
    <w:rsid w:val="00722FBC"/>
    <w:rsid w:val="007240D6"/>
    <w:rsid w:val="0072473C"/>
    <w:rsid w:val="00726920"/>
    <w:rsid w:val="00727869"/>
    <w:rsid w:val="007326A1"/>
    <w:rsid w:val="00736AFD"/>
    <w:rsid w:val="00741CF0"/>
    <w:rsid w:val="007426D2"/>
    <w:rsid w:val="00745044"/>
    <w:rsid w:val="007521F2"/>
    <w:rsid w:val="0075266A"/>
    <w:rsid w:val="00754905"/>
    <w:rsid w:val="00756673"/>
    <w:rsid w:val="00757586"/>
    <w:rsid w:val="00760EE4"/>
    <w:rsid w:val="00762A53"/>
    <w:rsid w:val="00764AA4"/>
    <w:rsid w:val="0076571F"/>
    <w:rsid w:val="007709BF"/>
    <w:rsid w:val="00770F74"/>
    <w:rsid w:val="007723A4"/>
    <w:rsid w:val="00773374"/>
    <w:rsid w:val="007744E3"/>
    <w:rsid w:val="00782C59"/>
    <w:rsid w:val="0078418A"/>
    <w:rsid w:val="007858CF"/>
    <w:rsid w:val="00786E98"/>
    <w:rsid w:val="007928EB"/>
    <w:rsid w:val="007950BD"/>
    <w:rsid w:val="00796698"/>
    <w:rsid w:val="007A04E6"/>
    <w:rsid w:val="007A414B"/>
    <w:rsid w:val="007A6AB2"/>
    <w:rsid w:val="007A6BC7"/>
    <w:rsid w:val="007A757B"/>
    <w:rsid w:val="007A7DF2"/>
    <w:rsid w:val="007B0DAB"/>
    <w:rsid w:val="007B0DF3"/>
    <w:rsid w:val="007B19C1"/>
    <w:rsid w:val="007B1B55"/>
    <w:rsid w:val="007B4183"/>
    <w:rsid w:val="007B47AB"/>
    <w:rsid w:val="007B5C32"/>
    <w:rsid w:val="007B6E9C"/>
    <w:rsid w:val="007C297F"/>
    <w:rsid w:val="007C550F"/>
    <w:rsid w:val="007C5670"/>
    <w:rsid w:val="007C5CB3"/>
    <w:rsid w:val="007C5F06"/>
    <w:rsid w:val="007D0125"/>
    <w:rsid w:val="007D06AB"/>
    <w:rsid w:val="007D08C6"/>
    <w:rsid w:val="007D5436"/>
    <w:rsid w:val="007D54AE"/>
    <w:rsid w:val="007D6F25"/>
    <w:rsid w:val="007E0233"/>
    <w:rsid w:val="007E04FB"/>
    <w:rsid w:val="007E0C1F"/>
    <w:rsid w:val="007E4FE3"/>
    <w:rsid w:val="007E63B2"/>
    <w:rsid w:val="007E6ED7"/>
    <w:rsid w:val="007E7848"/>
    <w:rsid w:val="007F0D59"/>
    <w:rsid w:val="007F0EED"/>
    <w:rsid w:val="007F19FA"/>
    <w:rsid w:val="007F1BE2"/>
    <w:rsid w:val="007F5A4E"/>
    <w:rsid w:val="007F5F4B"/>
    <w:rsid w:val="007F6225"/>
    <w:rsid w:val="007F6450"/>
    <w:rsid w:val="007F658F"/>
    <w:rsid w:val="00800151"/>
    <w:rsid w:val="0080084C"/>
    <w:rsid w:val="00800A5E"/>
    <w:rsid w:val="008022E6"/>
    <w:rsid w:val="00805061"/>
    <w:rsid w:val="00810D00"/>
    <w:rsid w:val="00811002"/>
    <w:rsid w:val="00811423"/>
    <w:rsid w:val="008179D4"/>
    <w:rsid w:val="00817FB1"/>
    <w:rsid w:val="008245A6"/>
    <w:rsid w:val="008270EF"/>
    <w:rsid w:val="00827442"/>
    <w:rsid w:val="0083039A"/>
    <w:rsid w:val="008303B7"/>
    <w:rsid w:val="0083066F"/>
    <w:rsid w:val="0083072E"/>
    <w:rsid w:val="00832CC1"/>
    <w:rsid w:val="0083395B"/>
    <w:rsid w:val="00835754"/>
    <w:rsid w:val="00835F62"/>
    <w:rsid w:val="008363B3"/>
    <w:rsid w:val="00840570"/>
    <w:rsid w:val="00844168"/>
    <w:rsid w:val="00844AE1"/>
    <w:rsid w:val="00850292"/>
    <w:rsid w:val="008502A5"/>
    <w:rsid w:val="008531E8"/>
    <w:rsid w:val="00855C71"/>
    <w:rsid w:val="0085743B"/>
    <w:rsid w:val="00857BAE"/>
    <w:rsid w:val="00861BF7"/>
    <w:rsid w:val="008639D5"/>
    <w:rsid w:val="0086515F"/>
    <w:rsid w:val="008662A7"/>
    <w:rsid w:val="008735FC"/>
    <w:rsid w:val="00876708"/>
    <w:rsid w:val="00877355"/>
    <w:rsid w:val="00880491"/>
    <w:rsid w:val="0088052A"/>
    <w:rsid w:val="0088072C"/>
    <w:rsid w:val="008819F5"/>
    <w:rsid w:val="008858B8"/>
    <w:rsid w:val="00891C74"/>
    <w:rsid w:val="008927A3"/>
    <w:rsid w:val="008950F0"/>
    <w:rsid w:val="0089514E"/>
    <w:rsid w:val="00895418"/>
    <w:rsid w:val="00897ECC"/>
    <w:rsid w:val="008A2D70"/>
    <w:rsid w:val="008A3620"/>
    <w:rsid w:val="008A4BE3"/>
    <w:rsid w:val="008A52E2"/>
    <w:rsid w:val="008B240D"/>
    <w:rsid w:val="008B27CA"/>
    <w:rsid w:val="008B385D"/>
    <w:rsid w:val="008B4FF3"/>
    <w:rsid w:val="008B59C2"/>
    <w:rsid w:val="008B7725"/>
    <w:rsid w:val="008B7D7C"/>
    <w:rsid w:val="008B7DF9"/>
    <w:rsid w:val="008C0E73"/>
    <w:rsid w:val="008C19CA"/>
    <w:rsid w:val="008C239E"/>
    <w:rsid w:val="008D0089"/>
    <w:rsid w:val="008D11D3"/>
    <w:rsid w:val="008D2C76"/>
    <w:rsid w:val="008D434C"/>
    <w:rsid w:val="008E0638"/>
    <w:rsid w:val="008E359D"/>
    <w:rsid w:val="008E3A16"/>
    <w:rsid w:val="008E63FC"/>
    <w:rsid w:val="008E65C6"/>
    <w:rsid w:val="008F2082"/>
    <w:rsid w:val="008F2310"/>
    <w:rsid w:val="008F3AF7"/>
    <w:rsid w:val="008F416A"/>
    <w:rsid w:val="008F78E0"/>
    <w:rsid w:val="008F7E36"/>
    <w:rsid w:val="00900299"/>
    <w:rsid w:val="00901A0E"/>
    <w:rsid w:val="00901E8C"/>
    <w:rsid w:val="00902081"/>
    <w:rsid w:val="00902CDA"/>
    <w:rsid w:val="0090376F"/>
    <w:rsid w:val="00910721"/>
    <w:rsid w:val="0091229A"/>
    <w:rsid w:val="0091344E"/>
    <w:rsid w:val="009144E7"/>
    <w:rsid w:val="00915A44"/>
    <w:rsid w:val="00917FE2"/>
    <w:rsid w:val="0092208A"/>
    <w:rsid w:val="0092530D"/>
    <w:rsid w:val="009278CC"/>
    <w:rsid w:val="00927C23"/>
    <w:rsid w:val="00927DEC"/>
    <w:rsid w:val="00931E7C"/>
    <w:rsid w:val="009339ED"/>
    <w:rsid w:val="00933FE9"/>
    <w:rsid w:val="0093625C"/>
    <w:rsid w:val="00936F19"/>
    <w:rsid w:val="009372F2"/>
    <w:rsid w:val="00940909"/>
    <w:rsid w:val="009409E7"/>
    <w:rsid w:val="00941FB8"/>
    <w:rsid w:val="009442B4"/>
    <w:rsid w:val="009448E8"/>
    <w:rsid w:val="00951B17"/>
    <w:rsid w:val="00956495"/>
    <w:rsid w:val="00956797"/>
    <w:rsid w:val="0095681D"/>
    <w:rsid w:val="009572C8"/>
    <w:rsid w:val="0096049D"/>
    <w:rsid w:val="0096355D"/>
    <w:rsid w:val="00963E28"/>
    <w:rsid w:val="00965833"/>
    <w:rsid w:val="009675AD"/>
    <w:rsid w:val="0097026C"/>
    <w:rsid w:val="00970A29"/>
    <w:rsid w:val="00971144"/>
    <w:rsid w:val="00971681"/>
    <w:rsid w:val="009729C4"/>
    <w:rsid w:val="00973F36"/>
    <w:rsid w:val="00976E06"/>
    <w:rsid w:val="00977EB2"/>
    <w:rsid w:val="00982B8E"/>
    <w:rsid w:val="009844BD"/>
    <w:rsid w:val="0098565B"/>
    <w:rsid w:val="00985E1D"/>
    <w:rsid w:val="00985EAE"/>
    <w:rsid w:val="009913B4"/>
    <w:rsid w:val="00991F56"/>
    <w:rsid w:val="0099290B"/>
    <w:rsid w:val="00995592"/>
    <w:rsid w:val="0099756B"/>
    <w:rsid w:val="009A712E"/>
    <w:rsid w:val="009B0E0A"/>
    <w:rsid w:val="009B18B4"/>
    <w:rsid w:val="009B2658"/>
    <w:rsid w:val="009B45EE"/>
    <w:rsid w:val="009B4D60"/>
    <w:rsid w:val="009B5405"/>
    <w:rsid w:val="009B5A74"/>
    <w:rsid w:val="009B73D8"/>
    <w:rsid w:val="009B756F"/>
    <w:rsid w:val="009C2B9E"/>
    <w:rsid w:val="009C5877"/>
    <w:rsid w:val="009C675B"/>
    <w:rsid w:val="009D0C57"/>
    <w:rsid w:val="009D0E9F"/>
    <w:rsid w:val="009D1E50"/>
    <w:rsid w:val="009D429E"/>
    <w:rsid w:val="009D5218"/>
    <w:rsid w:val="009E09AC"/>
    <w:rsid w:val="009E174D"/>
    <w:rsid w:val="009E310C"/>
    <w:rsid w:val="009E5357"/>
    <w:rsid w:val="009E574E"/>
    <w:rsid w:val="009F24B4"/>
    <w:rsid w:val="009F68F1"/>
    <w:rsid w:val="009F705A"/>
    <w:rsid w:val="009F75E2"/>
    <w:rsid w:val="00A04298"/>
    <w:rsid w:val="00A0718F"/>
    <w:rsid w:val="00A07ACC"/>
    <w:rsid w:val="00A104EC"/>
    <w:rsid w:val="00A11D7E"/>
    <w:rsid w:val="00A142AA"/>
    <w:rsid w:val="00A14370"/>
    <w:rsid w:val="00A178A6"/>
    <w:rsid w:val="00A228BB"/>
    <w:rsid w:val="00A23653"/>
    <w:rsid w:val="00A23AC0"/>
    <w:rsid w:val="00A24DAB"/>
    <w:rsid w:val="00A3546B"/>
    <w:rsid w:val="00A37725"/>
    <w:rsid w:val="00A379A9"/>
    <w:rsid w:val="00A42E65"/>
    <w:rsid w:val="00A43402"/>
    <w:rsid w:val="00A43462"/>
    <w:rsid w:val="00A46C17"/>
    <w:rsid w:val="00A5136C"/>
    <w:rsid w:val="00A52311"/>
    <w:rsid w:val="00A5401C"/>
    <w:rsid w:val="00A5639D"/>
    <w:rsid w:val="00A57E78"/>
    <w:rsid w:val="00A60C2D"/>
    <w:rsid w:val="00A65B40"/>
    <w:rsid w:val="00A6609E"/>
    <w:rsid w:val="00A66C27"/>
    <w:rsid w:val="00A67CDC"/>
    <w:rsid w:val="00A712A8"/>
    <w:rsid w:val="00A71300"/>
    <w:rsid w:val="00A7270B"/>
    <w:rsid w:val="00A75BB8"/>
    <w:rsid w:val="00A80134"/>
    <w:rsid w:val="00A832C0"/>
    <w:rsid w:val="00A83DE4"/>
    <w:rsid w:val="00A85CD4"/>
    <w:rsid w:val="00A8787A"/>
    <w:rsid w:val="00A91661"/>
    <w:rsid w:val="00A924A7"/>
    <w:rsid w:val="00A92DFA"/>
    <w:rsid w:val="00A95A4A"/>
    <w:rsid w:val="00A95B1C"/>
    <w:rsid w:val="00AA50CC"/>
    <w:rsid w:val="00AA5F8E"/>
    <w:rsid w:val="00AA6495"/>
    <w:rsid w:val="00AB00B5"/>
    <w:rsid w:val="00AB0E93"/>
    <w:rsid w:val="00AB28A6"/>
    <w:rsid w:val="00AB3BA4"/>
    <w:rsid w:val="00AB3C48"/>
    <w:rsid w:val="00AB4B71"/>
    <w:rsid w:val="00AC312F"/>
    <w:rsid w:val="00AC6EBF"/>
    <w:rsid w:val="00AC7D60"/>
    <w:rsid w:val="00AD4E63"/>
    <w:rsid w:val="00AD69D1"/>
    <w:rsid w:val="00AE226B"/>
    <w:rsid w:val="00AE2657"/>
    <w:rsid w:val="00AE2C78"/>
    <w:rsid w:val="00AE45C4"/>
    <w:rsid w:val="00AE68D0"/>
    <w:rsid w:val="00AE6931"/>
    <w:rsid w:val="00AE7664"/>
    <w:rsid w:val="00AF0DBD"/>
    <w:rsid w:val="00AF577D"/>
    <w:rsid w:val="00AF76B7"/>
    <w:rsid w:val="00B00A4E"/>
    <w:rsid w:val="00B022A7"/>
    <w:rsid w:val="00B02850"/>
    <w:rsid w:val="00B04170"/>
    <w:rsid w:val="00B0465E"/>
    <w:rsid w:val="00B06A43"/>
    <w:rsid w:val="00B107DA"/>
    <w:rsid w:val="00B14863"/>
    <w:rsid w:val="00B16156"/>
    <w:rsid w:val="00B16495"/>
    <w:rsid w:val="00B166E2"/>
    <w:rsid w:val="00B17B68"/>
    <w:rsid w:val="00B203B1"/>
    <w:rsid w:val="00B20DEC"/>
    <w:rsid w:val="00B220F5"/>
    <w:rsid w:val="00B25652"/>
    <w:rsid w:val="00B26D15"/>
    <w:rsid w:val="00B279E6"/>
    <w:rsid w:val="00B301D6"/>
    <w:rsid w:val="00B30502"/>
    <w:rsid w:val="00B34A12"/>
    <w:rsid w:val="00B360C1"/>
    <w:rsid w:val="00B3743F"/>
    <w:rsid w:val="00B3781E"/>
    <w:rsid w:val="00B4074E"/>
    <w:rsid w:val="00B57AA4"/>
    <w:rsid w:val="00B6173B"/>
    <w:rsid w:val="00B624C8"/>
    <w:rsid w:val="00B643DC"/>
    <w:rsid w:val="00B647F6"/>
    <w:rsid w:val="00B64EED"/>
    <w:rsid w:val="00B70224"/>
    <w:rsid w:val="00B70948"/>
    <w:rsid w:val="00B71375"/>
    <w:rsid w:val="00B7150E"/>
    <w:rsid w:val="00B72286"/>
    <w:rsid w:val="00B767E4"/>
    <w:rsid w:val="00B8234C"/>
    <w:rsid w:val="00B82C45"/>
    <w:rsid w:val="00B82E87"/>
    <w:rsid w:val="00B86436"/>
    <w:rsid w:val="00B87F51"/>
    <w:rsid w:val="00B9112C"/>
    <w:rsid w:val="00B91771"/>
    <w:rsid w:val="00B91818"/>
    <w:rsid w:val="00B93A3A"/>
    <w:rsid w:val="00B9729F"/>
    <w:rsid w:val="00BA002E"/>
    <w:rsid w:val="00BB073C"/>
    <w:rsid w:val="00BB0BEA"/>
    <w:rsid w:val="00BB61A6"/>
    <w:rsid w:val="00BC0525"/>
    <w:rsid w:val="00BC2006"/>
    <w:rsid w:val="00BC28C8"/>
    <w:rsid w:val="00BC53AA"/>
    <w:rsid w:val="00BC6BBC"/>
    <w:rsid w:val="00BC6E7B"/>
    <w:rsid w:val="00BD3024"/>
    <w:rsid w:val="00BD364E"/>
    <w:rsid w:val="00BD3FFC"/>
    <w:rsid w:val="00BD48FB"/>
    <w:rsid w:val="00BD49C4"/>
    <w:rsid w:val="00BD4F7A"/>
    <w:rsid w:val="00BD5100"/>
    <w:rsid w:val="00BD5B9B"/>
    <w:rsid w:val="00BD7C8A"/>
    <w:rsid w:val="00BE003C"/>
    <w:rsid w:val="00BE0D3F"/>
    <w:rsid w:val="00BE3863"/>
    <w:rsid w:val="00BE3B9A"/>
    <w:rsid w:val="00BE7915"/>
    <w:rsid w:val="00BE7C77"/>
    <w:rsid w:val="00BF56E7"/>
    <w:rsid w:val="00BF7D27"/>
    <w:rsid w:val="00BF7EC4"/>
    <w:rsid w:val="00C00BE9"/>
    <w:rsid w:val="00C01D9F"/>
    <w:rsid w:val="00C03869"/>
    <w:rsid w:val="00C04237"/>
    <w:rsid w:val="00C0585B"/>
    <w:rsid w:val="00C05B9C"/>
    <w:rsid w:val="00C0606B"/>
    <w:rsid w:val="00C063F5"/>
    <w:rsid w:val="00C069E6"/>
    <w:rsid w:val="00C06DEA"/>
    <w:rsid w:val="00C07243"/>
    <w:rsid w:val="00C07AFC"/>
    <w:rsid w:val="00C07DA2"/>
    <w:rsid w:val="00C10F78"/>
    <w:rsid w:val="00C12B9B"/>
    <w:rsid w:val="00C14CEE"/>
    <w:rsid w:val="00C15899"/>
    <w:rsid w:val="00C176A2"/>
    <w:rsid w:val="00C17D7F"/>
    <w:rsid w:val="00C20099"/>
    <w:rsid w:val="00C21618"/>
    <w:rsid w:val="00C23161"/>
    <w:rsid w:val="00C248BD"/>
    <w:rsid w:val="00C3211F"/>
    <w:rsid w:val="00C336FE"/>
    <w:rsid w:val="00C341C7"/>
    <w:rsid w:val="00C37D2E"/>
    <w:rsid w:val="00C40058"/>
    <w:rsid w:val="00C422C0"/>
    <w:rsid w:val="00C42382"/>
    <w:rsid w:val="00C42B3D"/>
    <w:rsid w:val="00C4376C"/>
    <w:rsid w:val="00C44512"/>
    <w:rsid w:val="00C44B5E"/>
    <w:rsid w:val="00C456FE"/>
    <w:rsid w:val="00C45AD4"/>
    <w:rsid w:val="00C46E3C"/>
    <w:rsid w:val="00C47C76"/>
    <w:rsid w:val="00C52048"/>
    <w:rsid w:val="00C5359A"/>
    <w:rsid w:val="00C54975"/>
    <w:rsid w:val="00C572FA"/>
    <w:rsid w:val="00C57C9A"/>
    <w:rsid w:val="00C611C9"/>
    <w:rsid w:val="00C61665"/>
    <w:rsid w:val="00C62077"/>
    <w:rsid w:val="00C62AFD"/>
    <w:rsid w:val="00C6342E"/>
    <w:rsid w:val="00C63BC0"/>
    <w:rsid w:val="00C65204"/>
    <w:rsid w:val="00C66582"/>
    <w:rsid w:val="00C667D8"/>
    <w:rsid w:val="00C7422A"/>
    <w:rsid w:val="00C750A6"/>
    <w:rsid w:val="00C771AB"/>
    <w:rsid w:val="00C77A43"/>
    <w:rsid w:val="00C8144B"/>
    <w:rsid w:val="00C835F6"/>
    <w:rsid w:val="00C848DD"/>
    <w:rsid w:val="00C8672E"/>
    <w:rsid w:val="00C86848"/>
    <w:rsid w:val="00C878A4"/>
    <w:rsid w:val="00C928A7"/>
    <w:rsid w:val="00C95715"/>
    <w:rsid w:val="00C964AE"/>
    <w:rsid w:val="00C96E8C"/>
    <w:rsid w:val="00CA0A87"/>
    <w:rsid w:val="00CA12D3"/>
    <w:rsid w:val="00CA27E5"/>
    <w:rsid w:val="00CA2AA9"/>
    <w:rsid w:val="00CA3165"/>
    <w:rsid w:val="00CA42F9"/>
    <w:rsid w:val="00CA59DD"/>
    <w:rsid w:val="00CA77B4"/>
    <w:rsid w:val="00CA7ECA"/>
    <w:rsid w:val="00CB1495"/>
    <w:rsid w:val="00CB2AA9"/>
    <w:rsid w:val="00CB33D7"/>
    <w:rsid w:val="00CB606A"/>
    <w:rsid w:val="00CB6AD2"/>
    <w:rsid w:val="00CC29E2"/>
    <w:rsid w:val="00CC537B"/>
    <w:rsid w:val="00CC5B63"/>
    <w:rsid w:val="00CC78A7"/>
    <w:rsid w:val="00CD0C92"/>
    <w:rsid w:val="00CD29F8"/>
    <w:rsid w:val="00CD2CF1"/>
    <w:rsid w:val="00CD5809"/>
    <w:rsid w:val="00CD6FC8"/>
    <w:rsid w:val="00CE0D00"/>
    <w:rsid w:val="00CE19B9"/>
    <w:rsid w:val="00CE3098"/>
    <w:rsid w:val="00CE538C"/>
    <w:rsid w:val="00CE642A"/>
    <w:rsid w:val="00CF074B"/>
    <w:rsid w:val="00CF58AB"/>
    <w:rsid w:val="00CF6DBB"/>
    <w:rsid w:val="00CF7682"/>
    <w:rsid w:val="00CF7D55"/>
    <w:rsid w:val="00D0204A"/>
    <w:rsid w:val="00D06843"/>
    <w:rsid w:val="00D11702"/>
    <w:rsid w:val="00D17961"/>
    <w:rsid w:val="00D235C0"/>
    <w:rsid w:val="00D240C0"/>
    <w:rsid w:val="00D245D6"/>
    <w:rsid w:val="00D24B81"/>
    <w:rsid w:val="00D24BC6"/>
    <w:rsid w:val="00D25831"/>
    <w:rsid w:val="00D30370"/>
    <w:rsid w:val="00D306F2"/>
    <w:rsid w:val="00D313BA"/>
    <w:rsid w:val="00D316F4"/>
    <w:rsid w:val="00D32408"/>
    <w:rsid w:val="00D332FA"/>
    <w:rsid w:val="00D33E6D"/>
    <w:rsid w:val="00D348DE"/>
    <w:rsid w:val="00D351E6"/>
    <w:rsid w:val="00D358BE"/>
    <w:rsid w:val="00D37264"/>
    <w:rsid w:val="00D378CF"/>
    <w:rsid w:val="00D41D51"/>
    <w:rsid w:val="00D4306E"/>
    <w:rsid w:val="00D43D6A"/>
    <w:rsid w:val="00D454D1"/>
    <w:rsid w:val="00D45700"/>
    <w:rsid w:val="00D4648E"/>
    <w:rsid w:val="00D54FD5"/>
    <w:rsid w:val="00D55D74"/>
    <w:rsid w:val="00D573C0"/>
    <w:rsid w:val="00D57597"/>
    <w:rsid w:val="00D60C86"/>
    <w:rsid w:val="00D61358"/>
    <w:rsid w:val="00D61D5C"/>
    <w:rsid w:val="00D62708"/>
    <w:rsid w:val="00D63E7C"/>
    <w:rsid w:val="00D64CDB"/>
    <w:rsid w:val="00D65FD2"/>
    <w:rsid w:val="00D81347"/>
    <w:rsid w:val="00D84011"/>
    <w:rsid w:val="00D847D6"/>
    <w:rsid w:val="00D85619"/>
    <w:rsid w:val="00D86868"/>
    <w:rsid w:val="00D9082B"/>
    <w:rsid w:val="00D90C05"/>
    <w:rsid w:val="00D92171"/>
    <w:rsid w:val="00D93459"/>
    <w:rsid w:val="00D93655"/>
    <w:rsid w:val="00D94428"/>
    <w:rsid w:val="00D95E1E"/>
    <w:rsid w:val="00D95E4C"/>
    <w:rsid w:val="00D9616D"/>
    <w:rsid w:val="00DA0413"/>
    <w:rsid w:val="00DA09AE"/>
    <w:rsid w:val="00DA615E"/>
    <w:rsid w:val="00DA628E"/>
    <w:rsid w:val="00DA6E59"/>
    <w:rsid w:val="00DB45B0"/>
    <w:rsid w:val="00DB5121"/>
    <w:rsid w:val="00DB59A6"/>
    <w:rsid w:val="00DB66F0"/>
    <w:rsid w:val="00DB6A7B"/>
    <w:rsid w:val="00DB7409"/>
    <w:rsid w:val="00DB7E0C"/>
    <w:rsid w:val="00DB7FE7"/>
    <w:rsid w:val="00DC0285"/>
    <w:rsid w:val="00DC104C"/>
    <w:rsid w:val="00DC1222"/>
    <w:rsid w:val="00DC19EF"/>
    <w:rsid w:val="00DC3B17"/>
    <w:rsid w:val="00DC4A21"/>
    <w:rsid w:val="00DC4E7D"/>
    <w:rsid w:val="00DC6807"/>
    <w:rsid w:val="00DC6B97"/>
    <w:rsid w:val="00DD17A4"/>
    <w:rsid w:val="00DD1D01"/>
    <w:rsid w:val="00DD2D25"/>
    <w:rsid w:val="00DD4218"/>
    <w:rsid w:val="00DD4CAF"/>
    <w:rsid w:val="00DD67B1"/>
    <w:rsid w:val="00DE0A4C"/>
    <w:rsid w:val="00DE1EC9"/>
    <w:rsid w:val="00DE3414"/>
    <w:rsid w:val="00DE5994"/>
    <w:rsid w:val="00DE5C6D"/>
    <w:rsid w:val="00DE7614"/>
    <w:rsid w:val="00DF1885"/>
    <w:rsid w:val="00E0321C"/>
    <w:rsid w:val="00E04508"/>
    <w:rsid w:val="00E047F1"/>
    <w:rsid w:val="00E04C44"/>
    <w:rsid w:val="00E05AD8"/>
    <w:rsid w:val="00E07806"/>
    <w:rsid w:val="00E12331"/>
    <w:rsid w:val="00E128C5"/>
    <w:rsid w:val="00E15232"/>
    <w:rsid w:val="00E217D7"/>
    <w:rsid w:val="00E23B10"/>
    <w:rsid w:val="00E2497E"/>
    <w:rsid w:val="00E272A3"/>
    <w:rsid w:val="00E325B0"/>
    <w:rsid w:val="00E33E03"/>
    <w:rsid w:val="00E40F61"/>
    <w:rsid w:val="00E4278A"/>
    <w:rsid w:val="00E43BB2"/>
    <w:rsid w:val="00E45190"/>
    <w:rsid w:val="00E45B31"/>
    <w:rsid w:val="00E50F23"/>
    <w:rsid w:val="00E5172C"/>
    <w:rsid w:val="00E51A86"/>
    <w:rsid w:val="00E531B2"/>
    <w:rsid w:val="00E615E0"/>
    <w:rsid w:val="00E61BFD"/>
    <w:rsid w:val="00E625EC"/>
    <w:rsid w:val="00E62CD2"/>
    <w:rsid w:val="00E66388"/>
    <w:rsid w:val="00E67AB5"/>
    <w:rsid w:val="00E71B2A"/>
    <w:rsid w:val="00E7218A"/>
    <w:rsid w:val="00E73B54"/>
    <w:rsid w:val="00E74F3B"/>
    <w:rsid w:val="00E77969"/>
    <w:rsid w:val="00E80974"/>
    <w:rsid w:val="00E83ECE"/>
    <w:rsid w:val="00E847B4"/>
    <w:rsid w:val="00E84E61"/>
    <w:rsid w:val="00E91045"/>
    <w:rsid w:val="00E95883"/>
    <w:rsid w:val="00EA09FB"/>
    <w:rsid w:val="00EA2C91"/>
    <w:rsid w:val="00EA3B17"/>
    <w:rsid w:val="00EA45DF"/>
    <w:rsid w:val="00EA562E"/>
    <w:rsid w:val="00EA5A23"/>
    <w:rsid w:val="00EA7523"/>
    <w:rsid w:val="00EA76F9"/>
    <w:rsid w:val="00EA7EC8"/>
    <w:rsid w:val="00EB035D"/>
    <w:rsid w:val="00EB21D9"/>
    <w:rsid w:val="00EB353C"/>
    <w:rsid w:val="00EB5EEE"/>
    <w:rsid w:val="00EB76CB"/>
    <w:rsid w:val="00EC0DAA"/>
    <w:rsid w:val="00EC5AE1"/>
    <w:rsid w:val="00EC725F"/>
    <w:rsid w:val="00ED41C2"/>
    <w:rsid w:val="00ED5C50"/>
    <w:rsid w:val="00ED7A1F"/>
    <w:rsid w:val="00EE0668"/>
    <w:rsid w:val="00EE1200"/>
    <w:rsid w:val="00EE2763"/>
    <w:rsid w:val="00EE2997"/>
    <w:rsid w:val="00EE3A56"/>
    <w:rsid w:val="00EF7BD5"/>
    <w:rsid w:val="00EF7E64"/>
    <w:rsid w:val="00F054D7"/>
    <w:rsid w:val="00F071D3"/>
    <w:rsid w:val="00F10811"/>
    <w:rsid w:val="00F134C7"/>
    <w:rsid w:val="00F1636F"/>
    <w:rsid w:val="00F16CE1"/>
    <w:rsid w:val="00F21A1B"/>
    <w:rsid w:val="00F21B53"/>
    <w:rsid w:val="00F229BC"/>
    <w:rsid w:val="00F2449B"/>
    <w:rsid w:val="00F3137E"/>
    <w:rsid w:val="00F34CF8"/>
    <w:rsid w:val="00F36C24"/>
    <w:rsid w:val="00F378BB"/>
    <w:rsid w:val="00F418E8"/>
    <w:rsid w:val="00F456FF"/>
    <w:rsid w:val="00F53F38"/>
    <w:rsid w:val="00F5441D"/>
    <w:rsid w:val="00F549D4"/>
    <w:rsid w:val="00F54C0B"/>
    <w:rsid w:val="00F550CB"/>
    <w:rsid w:val="00F55BC7"/>
    <w:rsid w:val="00F565CC"/>
    <w:rsid w:val="00F57A91"/>
    <w:rsid w:val="00F60190"/>
    <w:rsid w:val="00F60B2A"/>
    <w:rsid w:val="00F616C3"/>
    <w:rsid w:val="00F628C1"/>
    <w:rsid w:val="00F63DD8"/>
    <w:rsid w:val="00F64C70"/>
    <w:rsid w:val="00F64DCF"/>
    <w:rsid w:val="00F66676"/>
    <w:rsid w:val="00F66906"/>
    <w:rsid w:val="00F718B0"/>
    <w:rsid w:val="00F729B6"/>
    <w:rsid w:val="00F72A78"/>
    <w:rsid w:val="00F777C7"/>
    <w:rsid w:val="00F83704"/>
    <w:rsid w:val="00F8492A"/>
    <w:rsid w:val="00F867BB"/>
    <w:rsid w:val="00F86AC2"/>
    <w:rsid w:val="00F87EC6"/>
    <w:rsid w:val="00F9203D"/>
    <w:rsid w:val="00F92394"/>
    <w:rsid w:val="00FA02DA"/>
    <w:rsid w:val="00FA0EED"/>
    <w:rsid w:val="00FA12A0"/>
    <w:rsid w:val="00FA291E"/>
    <w:rsid w:val="00FA6D13"/>
    <w:rsid w:val="00FB1CFE"/>
    <w:rsid w:val="00FB2DDE"/>
    <w:rsid w:val="00FB33EF"/>
    <w:rsid w:val="00FB3955"/>
    <w:rsid w:val="00FB5E12"/>
    <w:rsid w:val="00FC0522"/>
    <w:rsid w:val="00FC245E"/>
    <w:rsid w:val="00FC2570"/>
    <w:rsid w:val="00FC26AE"/>
    <w:rsid w:val="00FC4DAA"/>
    <w:rsid w:val="00FD1C2A"/>
    <w:rsid w:val="00FD1C85"/>
    <w:rsid w:val="00FD49FC"/>
    <w:rsid w:val="00FD60B5"/>
    <w:rsid w:val="00FD7C0B"/>
    <w:rsid w:val="00FE5814"/>
    <w:rsid w:val="00FF11A7"/>
    <w:rsid w:val="00FF283D"/>
    <w:rsid w:val="00FF39FD"/>
    <w:rsid w:val="00FF43BD"/>
    <w:rsid w:val="00FF60F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22F4"/>
  <w15:docId w15:val="{CA1BAD33-F49E-4044-BAA9-68C3EBDE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S" w:eastAsia="es-PE"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A5C31"/>
    <w:pPr>
      <w:ind w:left="720"/>
      <w:contextualSpacing/>
    </w:p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 Car2 Car, C, Car"/>
    <w:basedOn w:val="Normal"/>
    <w:link w:val="TextonotapieCar"/>
    <w:unhideWhenUsed/>
    <w:rsid w:val="00203101"/>
    <w:rPr>
      <w:sz w:val="20"/>
      <w:szCs w:val="20"/>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rsid w:val="00203101"/>
    <w:rPr>
      <w:sz w:val="20"/>
      <w:szCs w:val="20"/>
    </w:rPr>
  </w:style>
  <w:style w:type="character" w:styleId="Refdenotaalpie">
    <w:name w:val="footnote reference"/>
    <w:basedOn w:val="Fuentedeprrafopredeter"/>
    <w:unhideWhenUsed/>
    <w:rsid w:val="00203101"/>
    <w:rPr>
      <w:vertAlign w:val="superscript"/>
    </w:rPr>
  </w:style>
  <w:style w:type="paragraph" w:styleId="Textodeglobo">
    <w:name w:val="Balloon Text"/>
    <w:basedOn w:val="Normal"/>
    <w:link w:val="TextodegloboCar"/>
    <w:uiPriority w:val="99"/>
    <w:semiHidden/>
    <w:unhideWhenUsed/>
    <w:rsid w:val="009604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049D"/>
    <w:rPr>
      <w:rFonts w:ascii="Segoe UI" w:hAnsi="Segoe UI" w:cs="Segoe UI"/>
      <w:sz w:val="18"/>
      <w:szCs w:val="18"/>
    </w:rPr>
  </w:style>
  <w:style w:type="character" w:styleId="Refdecomentario">
    <w:name w:val="annotation reference"/>
    <w:basedOn w:val="Fuentedeprrafopredeter"/>
    <w:uiPriority w:val="99"/>
    <w:semiHidden/>
    <w:unhideWhenUsed/>
    <w:rsid w:val="002A4428"/>
    <w:rPr>
      <w:sz w:val="16"/>
      <w:szCs w:val="16"/>
    </w:rPr>
  </w:style>
  <w:style w:type="paragraph" w:styleId="Textocomentario">
    <w:name w:val="annotation text"/>
    <w:basedOn w:val="Normal"/>
    <w:link w:val="TextocomentarioCar"/>
    <w:uiPriority w:val="99"/>
    <w:semiHidden/>
    <w:unhideWhenUsed/>
    <w:rsid w:val="002A4428"/>
    <w:rPr>
      <w:sz w:val="20"/>
      <w:szCs w:val="20"/>
    </w:rPr>
  </w:style>
  <w:style w:type="character" w:customStyle="1" w:styleId="TextocomentarioCar">
    <w:name w:val="Texto comentario Car"/>
    <w:basedOn w:val="Fuentedeprrafopredeter"/>
    <w:link w:val="Textocomentario"/>
    <w:uiPriority w:val="99"/>
    <w:semiHidden/>
    <w:rsid w:val="002A4428"/>
    <w:rPr>
      <w:sz w:val="20"/>
      <w:szCs w:val="20"/>
    </w:rPr>
  </w:style>
  <w:style w:type="paragraph" w:styleId="Asuntodelcomentario">
    <w:name w:val="annotation subject"/>
    <w:basedOn w:val="Textocomentario"/>
    <w:next w:val="Textocomentario"/>
    <w:link w:val="AsuntodelcomentarioCar"/>
    <w:uiPriority w:val="99"/>
    <w:semiHidden/>
    <w:unhideWhenUsed/>
    <w:rsid w:val="002A4428"/>
    <w:rPr>
      <w:b/>
      <w:bCs/>
    </w:rPr>
  </w:style>
  <w:style w:type="character" w:customStyle="1" w:styleId="AsuntodelcomentarioCar">
    <w:name w:val="Asunto del comentario Car"/>
    <w:basedOn w:val="TextocomentarioCar"/>
    <w:link w:val="Asuntodelcomentario"/>
    <w:uiPriority w:val="99"/>
    <w:semiHidden/>
    <w:rsid w:val="002A4428"/>
    <w:rPr>
      <w:b/>
      <w:bCs/>
      <w:sz w:val="20"/>
      <w:szCs w:val="20"/>
    </w:rPr>
  </w:style>
  <w:style w:type="paragraph" w:styleId="Encabezado">
    <w:name w:val="header"/>
    <w:basedOn w:val="Normal"/>
    <w:link w:val="EncabezadoCar"/>
    <w:uiPriority w:val="99"/>
    <w:unhideWhenUsed/>
    <w:rsid w:val="00AE7664"/>
    <w:pPr>
      <w:tabs>
        <w:tab w:val="center" w:pos="4419"/>
        <w:tab w:val="right" w:pos="8838"/>
      </w:tabs>
    </w:pPr>
  </w:style>
  <w:style w:type="character" w:customStyle="1" w:styleId="EncabezadoCar">
    <w:name w:val="Encabezado Car"/>
    <w:basedOn w:val="Fuentedeprrafopredeter"/>
    <w:link w:val="Encabezado"/>
    <w:uiPriority w:val="99"/>
    <w:rsid w:val="00AE7664"/>
  </w:style>
  <w:style w:type="paragraph" w:styleId="Piedepgina">
    <w:name w:val="footer"/>
    <w:basedOn w:val="Normal"/>
    <w:link w:val="PiedepginaCar"/>
    <w:uiPriority w:val="99"/>
    <w:unhideWhenUsed/>
    <w:rsid w:val="00AE7664"/>
    <w:pPr>
      <w:tabs>
        <w:tab w:val="center" w:pos="4419"/>
        <w:tab w:val="right" w:pos="8838"/>
      </w:tabs>
    </w:pPr>
  </w:style>
  <w:style w:type="character" w:customStyle="1" w:styleId="PiedepginaCar">
    <w:name w:val="Pie de página Car"/>
    <w:basedOn w:val="Fuentedeprrafopredeter"/>
    <w:link w:val="Piedepgina"/>
    <w:uiPriority w:val="99"/>
    <w:rsid w:val="00AE7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66148-153D-4114-BB8F-CFF8A6ED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979</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ALVAREZ</dc:creator>
  <cp:keywords/>
  <dc:description/>
  <cp:lastModifiedBy>Maria del Carmen Lezameta Escribens</cp:lastModifiedBy>
  <cp:revision>9</cp:revision>
  <cp:lastPrinted>2019-10-15T17:26:00Z</cp:lastPrinted>
  <dcterms:created xsi:type="dcterms:W3CDTF">2019-10-15T17:24:00Z</dcterms:created>
  <dcterms:modified xsi:type="dcterms:W3CDTF">2019-10-23T20:19:00Z</dcterms:modified>
</cp:coreProperties>
</file>