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BE40E" w14:textId="77777777" w:rsidR="00C44FCD" w:rsidRDefault="00C44FCD">
      <w:pPr>
        <w:pBdr>
          <w:top w:val="nil"/>
          <w:left w:val="nil"/>
          <w:bottom w:val="nil"/>
          <w:right w:val="nil"/>
          <w:between w:val="nil"/>
        </w:pBdr>
        <w:rPr>
          <w:rFonts w:ascii="Times New Roman" w:eastAsia="Times New Roman" w:hAnsi="Times New Roman" w:cs="Times New Roman"/>
          <w:color w:val="000000"/>
          <w:sz w:val="20"/>
          <w:szCs w:val="20"/>
        </w:rPr>
      </w:pPr>
      <w:bookmarkStart w:id="0" w:name="_heading=h.gjdgxs" w:colFirst="0" w:colLast="0"/>
      <w:bookmarkEnd w:id="0"/>
    </w:p>
    <w:p w14:paraId="3E18CA4C" w14:textId="77777777" w:rsidR="00C44FCD" w:rsidRDefault="00FF36BC">
      <w:pPr>
        <w:numPr>
          <w:ilvl w:val="0"/>
          <w:numId w:val="3"/>
        </w:numPr>
        <w:pBdr>
          <w:top w:val="nil"/>
          <w:left w:val="nil"/>
          <w:bottom w:val="nil"/>
          <w:right w:val="nil"/>
          <w:between w:val="nil"/>
        </w:pBdr>
        <w:tabs>
          <w:tab w:val="left" w:pos="381"/>
        </w:tabs>
        <w:ind w:left="380" w:hanging="96"/>
        <w:rPr>
          <w:b/>
          <w:color w:val="000000"/>
          <w:sz w:val="18"/>
          <w:szCs w:val="18"/>
        </w:rPr>
      </w:pPr>
      <w:r>
        <w:rPr>
          <w:b/>
          <w:color w:val="000000"/>
          <w:sz w:val="18"/>
          <w:szCs w:val="18"/>
        </w:rPr>
        <w:t>INFORMACIÓN GENERAL</w:t>
      </w:r>
    </w:p>
    <w:p w14:paraId="58159DF3" w14:textId="77777777" w:rsidR="00C44FCD" w:rsidRDefault="00FF36BC">
      <w:pPr>
        <w:tabs>
          <w:tab w:val="left" w:pos="3269"/>
          <w:tab w:val="left" w:pos="3709"/>
        </w:tabs>
        <w:spacing w:before="163"/>
        <w:ind w:left="1070"/>
        <w:rPr>
          <w:sz w:val="18"/>
          <w:szCs w:val="18"/>
        </w:rPr>
      </w:pPr>
      <w:r>
        <w:rPr>
          <w:b/>
          <w:sz w:val="18"/>
          <w:szCs w:val="18"/>
        </w:rPr>
        <w:t>CAPACITACIÓN</w:t>
      </w:r>
      <w:r>
        <w:rPr>
          <w:b/>
          <w:sz w:val="18"/>
          <w:szCs w:val="18"/>
        </w:rPr>
        <w:tab/>
      </w:r>
      <w:r>
        <w:rPr>
          <w:rFonts w:ascii="Arial" w:eastAsia="Arial" w:hAnsi="Arial" w:cs="Arial"/>
          <w:sz w:val="40"/>
          <w:szCs w:val="40"/>
          <w:vertAlign w:val="subscript"/>
        </w:rPr>
        <w:t>:</w:t>
      </w:r>
      <w:r>
        <w:rPr>
          <w:rFonts w:ascii="Arial" w:eastAsia="Arial" w:hAnsi="Arial" w:cs="Arial"/>
          <w:sz w:val="40"/>
          <w:szCs w:val="40"/>
          <w:vertAlign w:val="subscript"/>
        </w:rPr>
        <w:tab/>
      </w:r>
      <w:r>
        <w:rPr>
          <w:sz w:val="18"/>
          <w:szCs w:val="18"/>
        </w:rPr>
        <w:t>Contrataciones y Adquisiciones del Estado</w:t>
      </w:r>
    </w:p>
    <w:p w14:paraId="50595309" w14:textId="77777777" w:rsidR="00C44FCD" w:rsidRDefault="00FF36BC">
      <w:pPr>
        <w:tabs>
          <w:tab w:val="left" w:pos="3269"/>
          <w:tab w:val="left" w:pos="3709"/>
        </w:tabs>
        <w:spacing w:before="41"/>
        <w:ind w:left="1070"/>
        <w:rPr>
          <w:sz w:val="18"/>
          <w:szCs w:val="18"/>
        </w:rPr>
      </w:pPr>
      <w:r>
        <w:rPr>
          <w:b/>
          <w:sz w:val="18"/>
          <w:szCs w:val="18"/>
        </w:rPr>
        <w:t>CÓDIGO</w:t>
      </w:r>
      <w:r>
        <w:rPr>
          <w:b/>
          <w:sz w:val="18"/>
          <w:szCs w:val="18"/>
        </w:rPr>
        <w:tab/>
      </w:r>
      <w:r>
        <w:rPr>
          <w:rFonts w:ascii="Arial" w:eastAsia="Arial" w:hAnsi="Arial" w:cs="Arial"/>
          <w:sz w:val="40"/>
          <w:szCs w:val="40"/>
          <w:vertAlign w:val="subscript"/>
        </w:rPr>
        <w:t>:</w:t>
      </w:r>
      <w:r>
        <w:rPr>
          <w:rFonts w:ascii="Arial" w:eastAsia="Arial" w:hAnsi="Arial" w:cs="Arial"/>
          <w:sz w:val="40"/>
          <w:szCs w:val="40"/>
          <w:vertAlign w:val="subscript"/>
        </w:rPr>
        <w:tab/>
      </w:r>
      <w:r>
        <w:rPr>
          <w:sz w:val="18"/>
          <w:szCs w:val="18"/>
        </w:rPr>
        <w:t xml:space="preserve">ORDEN DE SERVICIO </w:t>
      </w:r>
      <w:proofErr w:type="spellStart"/>
      <w:r>
        <w:rPr>
          <w:sz w:val="18"/>
          <w:szCs w:val="18"/>
        </w:rPr>
        <w:t>Nº</w:t>
      </w:r>
      <w:proofErr w:type="spellEnd"/>
      <w:r>
        <w:rPr>
          <w:sz w:val="18"/>
          <w:szCs w:val="18"/>
        </w:rPr>
        <w:t xml:space="preserve"> 0000256</w:t>
      </w:r>
    </w:p>
    <w:p w14:paraId="0DD35F5B" w14:textId="77777777" w:rsidR="00C44FCD" w:rsidRDefault="00FF36BC">
      <w:pPr>
        <w:tabs>
          <w:tab w:val="left" w:pos="3269"/>
          <w:tab w:val="left" w:pos="3709"/>
        </w:tabs>
        <w:spacing w:before="41"/>
        <w:ind w:left="1070"/>
        <w:rPr>
          <w:b/>
        </w:rPr>
      </w:pPr>
      <w:r>
        <w:rPr>
          <w:b/>
          <w:sz w:val="18"/>
          <w:szCs w:val="18"/>
        </w:rPr>
        <w:t>CUERPO ACADÉMICO</w:t>
      </w:r>
      <w:r>
        <w:rPr>
          <w:b/>
          <w:sz w:val="18"/>
          <w:szCs w:val="18"/>
        </w:rPr>
        <w:tab/>
      </w:r>
      <w:r>
        <w:rPr>
          <w:rFonts w:ascii="Arial" w:eastAsia="Arial" w:hAnsi="Arial" w:cs="Arial"/>
          <w:sz w:val="24"/>
          <w:szCs w:val="24"/>
        </w:rPr>
        <w:t>:</w:t>
      </w:r>
      <w:r>
        <w:rPr>
          <w:rFonts w:ascii="Arial" w:eastAsia="Arial" w:hAnsi="Arial" w:cs="Arial"/>
          <w:sz w:val="24"/>
          <w:szCs w:val="24"/>
        </w:rPr>
        <w:tab/>
      </w:r>
      <w:r>
        <w:rPr>
          <w:b/>
        </w:rPr>
        <w:t xml:space="preserve">Benavides </w:t>
      </w:r>
      <w:proofErr w:type="spellStart"/>
      <w:r>
        <w:rPr>
          <w:b/>
        </w:rPr>
        <w:t>Póntex</w:t>
      </w:r>
      <w:proofErr w:type="spellEnd"/>
      <w:r>
        <w:rPr>
          <w:b/>
        </w:rPr>
        <w:t>, Roberto</w:t>
      </w:r>
    </w:p>
    <w:p w14:paraId="00FDECCC" w14:textId="77777777" w:rsidR="00C44FCD" w:rsidRDefault="00FF36BC">
      <w:pPr>
        <w:tabs>
          <w:tab w:val="left" w:pos="3269"/>
          <w:tab w:val="left" w:pos="3709"/>
        </w:tabs>
        <w:spacing w:before="41"/>
        <w:ind w:left="1070" w:firstLine="2616"/>
        <w:rPr>
          <w:b/>
        </w:rPr>
      </w:pPr>
      <w:r>
        <w:rPr>
          <w:b/>
        </w:rPr>
        <w:t>Hernández Diez, Sandro</w:t>
      </w:r>
    </w:p>
    <w:p w14:paraId="2871ED35" w14:textId="77777777" w:rsidR="00C44FCD" w:rsidRDefault="00FF36BC">
      <w:pPr>
        <w:tabs>
          <w:tab w:val="left" w:pos="3269"/>
          <w:tab w:val="left" w:pos="3709"/>
        </w:tabs>
        <w:spacing w:before="41"/>
        <w:ind w:left="1070" w:firstLine="2616"/>
        <w:rPr>
          <w:b/>
        </w:rPr>
      </w:pPr>
      <w:r>
        <w:rPr>
          <w:b/>
        </w:rPr>
        <w:t>Becerra Farfán, María Hilda</w:t>
      </w:r>
    </w:p>
    <w:p w14:paraId="35A5CC58" w14:textId="77777777" w:rsidR="00C44FCD" w:rsidRDefault="00FF36BC">
      <w:pPr>
        <w:tabs>
          <w:tab w:val="left" w:pos="3269"/>
          <w:tab w:val="left" w:pos="3709"/>
        </w:tabs>
        <w:spacing w:before="41"/>
        <w:ind w:left="1070" w:firstLine="2616"/>
        <w:rPr>
          <w:b/>
        </w:rPr>
      </w:pPr>
      <w:proofErr w:type="spellStart"/>
      <w:r>
        <w:rPr>
          <w:b/>
        </w:rPr>
        <w:t>Triveño</w:t>
      </w:r>
      <w:proofErr w:type="spellEnd"/>
      <w:r>
        <w:rPr>
          <w:b/>
        </w:rPr>
        <w:t xml:space="preserve"> Daza, Daniel</w:t>
      </w:r>
    </w:p>
    <w:p w14:paraId="349D12E4" w14:textId="77777777" w:rsidR="00C44FCD" w:rsidRDefault="00FF36BC">
      <w:pPr>
        <w:tabs>
          <w:tab w:val="left" w:pos="3269"/>
          <w:tab w:val="left" w:pos="3709"/>
        </w:tabs>
        <w:spacing w:before="41"/>
        <w:ind w:left="1070" w:firstLine="2616"/>
        <w:rPr>
          <w:b/>
        </w:rPr>
      </w:pPr>
      <w:r>
        <w:rPr>
          <w:b/>
        </w:rPr>
        <w:t>Zegarra Pinto, José</w:t>
      </w:r>
    </w:p>
    <w:p w14:paraId="26200DF2" w14:textId="1D099AC4" w:rsidR="00C44FCD" w:rsidRDefault="00FF36BC">
      <w:pPr>
        <w:tabs>
          <w:tab w:val="left" w:pos="3269"/>
          <w:tab w:val="left" w:pos="3709"/>
        </w:tabs>
        <w:spacing w:before="41"/>
        <w:ind w:left="1070" w:firstLine="2616"/>
        <w:rPr>
          <w:b/>
        </w:rPr>
      </w:pPr>
      <w:r>
        <w:rPr>
          <w:b/>
        </w:rPr>
        <w:t>Ruiz Bautista, Jorge Abel</w:t>
      </w:r>
    </w:p>
    <w:p w14:paraId="14831551" w14:textId="30098338" w:rsidR="000C3D6F" w:rsidRDefault="000C3D6F" w:rsidP="000C3D6F">
      <w:pPr>
        <w:tabs>
          <w:tab w:val="left" w:pos="3269"/>
          <w:tab w:val="left" w:pos="3709"/>
        </w:tabs>
        <w:spacing w:before="41"/>
        <w:ind w:left="1070" w:firstLine="2616"/>
        <w:rPr>
          <w:b/>
        </w:rPr>
      </w:pPr>
      <w:r>
        <w:rPr>
          <w:b/>
        </w:rPr>
        <w:t>Álvarez, Roy</w:t>
      </w:r>
    </w:p>
    <w:p w14:paraId="36C3CA64" w14:textId="77777777" w:rsidR="00C44FCD" w:rsidRDefault="00FF36BC">
      <w:pPr>
        <w:tabs>
          <w:tab w:val="left" w:pos="3269"/>
          <w:tab w:val="left" w:pos="3709"/>
        </w:tabs>
        <w:spacing w:before="41"/>
        <w:ind w:left="1070" w:firstLine="2616"/>
        <w:rPr>
          <w:b/>
        </w:rPr>
      </w:pPr>
      <w:r>
        <w:rPr>
          <w:b/>
        </w:rPr>
        <w:t>Herrada, Tatiana</w:t>
      </w:r>
    </w:p>
    <w:p w14:paraId="10383121" w14:textId="77777777" w:rsidR="00C44FCD" w:rsidRDefault="00FF36BC">
      <w:pPr>
        <w:tabs>
          <w:tab w:val="left" w:pos="3269"/>
          <w:tab w:val="left" w:pos="3709"/>
        </w:tabs>
        <w:spacing w:before="41"/>
        <w:ind w:left="1070"/>
        <w:rPr>
          <w:color w:val="000000"/>
          <w:sz w:val="18"/>
          <w:szCs w:val="18"/>
        </w:rPr>
      </w:pPr>
      <w:r>
        <w:rPr>
          <w:b/>
          <w:sz w:val="18"/>
          <w:szCs w:val="18"/>
        </w:rPr>
        <w:t>SEMANAS</w:t>
      </w:r>
      <w:r>
        <w:rPr>
          <w:b/>
          <w:sz w:val="18"/>
          <w:szCs w:val="18"/>
        </w:rPr>
        <w:tab/>
      </w:r>
      <w:r>
        <w:rPr>
          <w:rFonts w:ascii="Arial" w:eastAsia="Arial" w:hAnsi="Arial" w:cs="Arial"/>
          <w:sz w:val="40"/>
          <w:szCs w:val="40"/>
          <w:vertAlign w:val="subscript"/>
        </w:rPr>
        <w:t>:</w:t>
      </w:r>
      <w:r>
        <w:rPr>
          <w:rFonts w:ascii="Arial" w:eastAsia="Arial" w:hAnsi="Arial" w:cs="Arial"/>
          <w:sz w:val="40"/>
          <w:szCs w:val="40"/>
          <w:vertAlign w:val="subscript"/>
        </w:rPr>
        <w:tab/>
      </w:r>
      <w:r>
        <w:rPr>
          <w:color w:val="000000"/>
          <w:sz w:val="18"/>
          <w:szCs w:val="18"/>
        </w:rPr>
        <w:t>4 Semanas</w:t>
      </w:r>
    </w:p>
    <w:p w14:paraId="56C16773" w14:textId="77777777" w:rsidR="00C44FCD" w:rsidRDefault="00FF36BC">
      <w:pPr>
        <w:tabs>
          <w:tab w:val="left" w:pos="3269"/>
          <w:tab w:val="left" w:pos="3709"/>
        </w:tabs>
        <w:spacing w:before="41"/>
        <w:ind w:left="1070"/>
        <w:rPr>
          <w:color w:val="000000"/>
          <w:sz w:val="18"/>
          <w:szCs w:val="18"/>
        </w:rPr>
      </w:pPr>
      <w:r>
        <w:rPr>
          <w:b/>
          <w:color w:val="000000"/>
          <w:sz w:val="18"/>
          <w:szCs w:val="18"/>
        </w:rPr>
        <w:t>SESIONES</w:t>
      </w:r>
      <w:r>
        <w:rPr>
          <w:b/>
          <w:color w:val="000000"/>
          <w:sz w:val="18"/>
          <w:szCs w:val="18"/>
        </w:rPr>
        <w:tab/>
      </w:r>
      <w:r>
        <w:rPr>
          <w:rFonts w:ascii="Arial" w:eastAsia="Arial" w:hAnsi="Arial" w:cs="Arial"/>
          <w:color w:val="000000"/>
          <w:sz w:val="40"/>
          <w:szCs w:val="40"/>
          <w:vertAlign w:val="subscript"/>
        </w:rPr>
        <w:t>:</w:t>
      </w:r>
      <w:r>
        <w:rPr>
          <w:rFonts w:ascii="Arial" w:eastAsia="Arial" w:hAnsi="Arial" w:cs="Arial"/>
          <w:color w:val="000000"/>
          <w:sz w:val="40"/>
          <w:szCs w:val="40"/>
          <w:vertAlign w:val="subscript"/>
        </w:rPr>
        <w:tab/>
      </w:r>
      <w:r>
        <w:rPr>
          <w:color w:val="000000"/>
          <w:sz w:val="18"/>
          <w:szCs w:val="18"/>
        </w:rPr>
        <w:t>8 Sesiones</w:t>
      </w:r>
    </w:p>
    <w:p w14:paraId="54AA83EA" w14:textId="77777777" w:rsidR="00C44FCD" w:rsidRDefault="00FF36BC">
      <w:pPr>
        <w:tabs>
          <w:tab w:val="left" w:pos="3269"/>
          <w:tab w:val="left" w:pos="3709"/>
        </w:tabs>
        <w:spacing w:before="41"/>
        <w:ind w:left="1070"/>
        <w:rPr>
          <w:color w:val="000000"/>
          <w:sz w:val="18"/>
          <w:szCs w:val="18"/>
        </w:rPr>
      </w:pPr>
      <w:r>
        <w:rPr>
          <w:b/>
          <w:color w:val="000000"/>
          <w:sz w:val="18"/>
          <w:szCs w:val="18"/>
        </w:rPr>
        <w:t xml:space="preserve">ÁREA </w:t>
      </w:r>
      <w:r>
        <w:rPr>
          <w:b/>
          <w:color w:val="000000"/>
          <w:sz w:val="18"/>
          <w:szCs w:val="18"/>
        </w:rPr>
        <w:tab/>
      </w:r>
      <w:r>
        <w:rPr>
          <w:rFonts w:ascii="Arial" w:eastAsia="Arial" w:hAnsi="Arial" w:cs="Arial"/>
          <w:color w:val="000000"/>
          <w:sz w:val="40"/>
          <w:szCs w:val="40"/>
          <w:vertAlign w:val="subscript"/>
        </w:rPr>
        <w:t>:</w:t>
      </w:r>
      <w:r>
        <w:rPr>
          <w:rFonts w:ascii="Arial" w:eastAsia="Arial" w:hAnsi="Arial" w:cs="Arial"/>
          <w:color w:val="000000"/>
          <w:sz w:val="40"/>
          <w:szCs w:val="40"/>
          <w:vertAlign w:val="subscript"/>
        </w:rPr>
        <w:tab/>
      </w:r>
      <w:r>
        <w:rPr>
          <w:color w:val="000000"/>
          <w:sz w:val="18"/>
          <w:szCs w:val="18"/>
        </w:rPr>
        <w:t>Despacho Presidencial</w:t>
      </w:r>
    </w:p>
    <w:p w14:paraId="2C937962" w14:textId="77777777" w:rsidR="00C44FCD" w:rsidRDefault="00C44FCD">
      <w:pPr>
        <w:tabs>
          <w:tab w:val="left" w:pos="3269"/>
          <w:tab w:val="left" w:pos="3709"/>
        </w:tabs>
        <w:spacing w:before="41"/>
        <w:ind w:left="1070"/>
        <w:rPr>
          <w:sz w:val="18"/>
          <w:szCs w:val="18"/>
        </w:rPr>
      </w:pPr>
    </w:p>
    <w:p w14:paraId="30A4621E" w14:textId="77777777" w:rsidR="00C44FCD" w:rsidRDefault="00C44FCD">
      <w:pPr>
        <w:tabs>
          <w:tab w:val="left" w:pos="3269"/>
          <w:tab w:val="left" w:pos="3709"/>
        </w:tabs>
        <w:spacing w:before="41"/>
        <w:ind w:left="1070"/>
        <w:rPr>
          <w:sz w:val="18"/>
          <w:szCs w:val="18"/>
        </w:rPr>
      </w:pPr>
    </w:p>
    <w:p w14:paraId="2D54F79C" w14:textId="77777777" w:rsidR="00C44FCD" w:rsidRDefault="00FF36BC">
      <w:pPr>
        <w:numPr>
          <w:ilvl w:val="0"/>
          <w:numId w:val="3"/>
        </w:numPr>
        <w:pBdr>
          <w:top w:val="nil"/>
          <w:left w:val="nil"/>
          <w:bottom w:val="nil"/>
          <w:right w:val="nil"/>
          <w:between w:val="nil"/>
        </w:pBdr>
        <w:tabs>
          <w:tab w:val="left" w:pos="381"/>
        </w:tabs>
        <w:ind w:left="380" w:hanging="23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MISIÓN Y VISIÓN DEL CAE</w:t>
      </w:r>
    </w:p>
    <w:p w14:paraId="2FABE5ED" w14:textId="77777777" w:rsidR="00C44FCD" w:rsidRDefault="00C44FCD">
      <w:pPr>
        <w:pBdr>
          <w:top w:val="nil"/>
          <w:left w:val="nil"/>
          <w:bottom w:val="nil"/>
          <w:right w:val="nil"/>
          <w:between w:val="nil"/>
        </w:pBdr>
        <w:spacing w:before="6"/>
        <w:rPr>
          <w:rFonts w:ascii="Times New Roman" w:eastAsia="Times New Roman" w:hAnsi="Times New Roman" w:cs="Times New Roman"/>
          <w:b/>
          <w:color w:val="000000"/>
        </w:rPr>
      </w:pPr>
    </w:p>
    <w:p w14:paraId="70A08F29" w14:textId="77777777" w:rsidR="00C44FCD" w:rsidRDefault="00FF36BC">
      <w:pPr>
        <w:spacing w:before="1" w:line="312" w:lineRule="auto"/>
        <w:ind w:left="100" w:right="1078"/>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Misión</w:t>
      </w:r>
      <w:r>
        <w:rPr>
          <w:rFonts w:ascii="Times New Roman" w:eastAsia="Times New Roman" w:hAnsi="Times New Roman" w:cs="Times New Roman"/>
          <w:color w:val="000000"/>
          <w:sz w:val="20"/>
          <w:szCs w:val="20"/>
        </w:rPr>
        <w:t>: El Círculo de Arbitraje con el Estado - CAE, tiene como misión el desarrollo de la actividad y estudio del Arbitraje, Contratación con el Estado, Derecho Administrativo y todo mecanismo alternativo de solución de conflictos donde participe el Estado Peruano.</w:t>
      </w:r>
    </w:p>
    <w:p w14:paraId="5AA0FE78" w14:textId="77777777" w:rsidR="00C44FCD" w:rsidRDefault="00FF36BC">
      <w:pPr>
        <w:spacing w:before="1" w:line="312" w:lineRule="auto"/>
        <w:ind w:left="100" w:right="1078"/>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Visión</w:t>
      </w:r>
      <w:r>
        <w:rPr>
          <w:rFonts w:ascii="Times New Roman" w:eastAsia="Times New Roman" w:hAnsi="Times New Roman" w:cs="Times New Roman"/>
          <w:color w:val="000000"/>
          <w:sz w:val="20"/>
          <w:szCs w:val="20"/>
        </w:rPr>
        <w:t>: Ser líder en la formación de Árbitros, especialistas en Contrataciones con el Estado y Resolución de Controversias, constituyéndose como la mejor institución educativa a nivel nacional e internacional.</w:t>
      </w:r>
    </w:p>
    <w:p w14:paraId="6D4F350E" w14:textId="77777777" w:rsidR="00C44FCD" w:rsidRDefault="00C44FCD">
      <w:pPr>
        <w:pBdr>
          <w:top w:val="nil"/>
          <w:left w:val="nil"/>
          <w:bottom w:val="nil"/>
          <w:right w:val="nil"/>
          <w:between w:val="nil"/>
        </w:pBdr>
        <w:spacing w:before="6"/>
        <w:rPr>
          <w:rFonts w:ascii="Times New Roman" w:eastAsia="Times New Roman" w:hAnsi="Times New Roman" w:cs="Times New Roman"/>
          <w:color w:val="000000"/>
          <w:sz w:val="16"/>
          <w:szCs w:val="16"/>
        </w:rPr>
      </w:pPr>
    </w:p>
    <w:p w14:paraId="12B356C5" w14:textId="77777777" w:rsidR="00C44FCD" w:rsidRDefault="00FF36BC">
      <w:pPr>
        <w:numPr>
          <w:ilvl w:val="0"/>
          <w:numId w:val="3"/>
        </w:numPr>
        <w:pBdr>
          <w:top w:val="nil"/>
          <w:left w:val="nil"/>
          <w:bottom w:val="nil"/>
          <w:right w:val="nil"/>
          <w:between w:val="nil"/>
        </w:pBdr>
        <w:tabs>
          <w:tab w:val="left" w:pos="401"/>
        </w:tabs>
        <w:ind w:left="400" w:hanging="30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INTRODUCCIÓN</w:t>
      </w:r>
    </w:p>
    <w:p w14:paraId="051480A3" w14:textId="77777777" w:rsidR="00C44FCD" w:rsidRDefault="00C44FCD">
      <w:pPr>
        <w:pBdr>
          <w:top w:val="nil"/>
          <w:left w:val="nil"/>
          <w:bottom w:val="nil"/>
          <w:right w:val="nil"/>
          <w:between w:val="nil"/>
        </w:pBdr>
        <w:spacing w:before="6"/>
        <w:rPr>
          <w:rFonts w:ascii="Times New Roman" w:eastAsia="Times New Roman" w:hAnsi="Times New Roman" w:cs="Times New Roman"/>
          <w:b/>
          <w:color w:val="000000"/>
          <w:sz w:val="19"/>
          <w:szCs w:val="19"/>
        </w:rPr>
      </w:pPr>
    </w:p>
    <w:p w14:paraId="7E97A21C" w14:textId="77777777" w:rsidR="00C44FCD" w:rsidRDefault="00FF36BC">
      <w:pPr>
        <w:spacing w:before="1" w:line="312" w:lineRule="auto"/>
        <w:ind w:left="100" w:right="107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Descripción</w:t>
      </w:r>
    </w:p>
    <w:p w14:paraId="1A331585" w14:textId="77777777" w:rsidR="00C44FCD" w:rsidRDefault="00FF36BC">
      <w:pPr>
        <w:spacing w:before="1" w:line="312" w:lineRule="auto"/>
        <w:ind w:left="100" w:right="1078"/>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La capacitación busca que el participante entienda la Ley de Contrataciones del Estado y comprenda cuáles han sido las modificaciones en las contrataciones y adquisiciones del Estado.</w:t>
      </w:r>
    </w:p>
    <w:p w14:paraId="34CD40D8" w14:textId="77777777" w:rsidR="00C44FCD" w:rsidRDefault="00C44FCD">
      <w:pPr>
        <w:spacing w:before="1" w:line="312" w:lineRule="auto"/>
        <w:ind w:left="100" w:right="1078"/>
        <w:jc w:val="both"/>
        <w:rPr>
          <w:rFonts w:ascii="Times New Roman" w:eastAsia="Times New Roman" w:hAnsi="Times New Roman" w:cs="Times New Roman"/>
          <w:sz w:val="20"/>
          <w:szCs w:val="20"/>
        </w:rPr>
      </w:pPr>
    </w:p>
    <w:p w14:paraId="413D7AC8" w14:textId="77777777" w:rsidR="00C44FCD" w:rsidRDefault="00FF36BC">
      <w:pPr>
        <w:spacing w:before="1" w:line="312" w:lineRule="auto"/>
        <w:ind w:left="100" w:right="107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Propósito</w:t>
      </w:r>
    </w:p>
    <w:p w14:paraId="6E9C1C1A" w14:textId="77777777" w:rsidR="00C44FCD" w:rsidRDefault="00FF36BC">
      <w:pPr>
        <w:spacing w:before="1" w:line="312" w:lineRule="auto"/>
        <w:ind w:left="100" w:right="107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curso busca desarrollar que los participantes comprendan y dominen las actualizaciones en materia de contrataciones y adquisiciones del estado.</w:t>
      </w:r>
    </w:p>
    <w:p w14:paraId="75EEFC4A" w14:textId="77777777" w:rsidR="00C44FCD" w:rsidRDefault="00C44FCD">
      <w:pPr>
        <w:pBdr>
          <w:top w:val="nil"/>
          <w:left w:val="nil"/>
          <w:bottom w:val="nil"/>
          <w:right w:val="nil"/>
          <w:between w:val="nil"/>
        </w:pBdr>
        <w:spacing w:before="6"/>
        <w:jc w:val="both"/>
        <w:rPr>
          <w:rFonts w:ascii="Times New Roman" w:eastAsia="Times New Roman" w:hAnsi="Times New Roman" w:cs="Times New Roman"/>
          <w:sz w:val="28"/>
          <w:szCs w:val="28"/>
        </w:rPr>
      </w:pPr>
    </w:p>
    <w:p w14:paraId="6C51A3FB" w14:textId="77777777" w:rsidR="00C44FCD" w:rsidRDefault="00FF36BC">
      <w:pPr>
        <w:numPr>
          <w:ilvl w:val="0"/>
          <w:numId w:val="3"/>
        </w:numPr>
        <w:pBdr>
          <w:top w:val="nil"/>
          <w:left w:val="nil"/>
          <w:bottom w:val="nil"/>
          <w:right w:val="nil"/>
          <w:between w:val="nil"/>
        </w:pBdr>
        <w:tabs>
          <w:tab w:val="left" w:pos="426"/>
        </w:tabs>
        <w:ind w:left="380" w:hanging="23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LOGRO (S) DEL CURSO</w:t>
      </w:r>
    </w:p>
    <w:p w14:paraId="130CD331" w14:textId="77777777" w:rsidR="00C44FCD" w:rsidRDefault="00C44FCD">
      <w:pPr>
        <w:pBdr>
          <w:top w:val="nil"/>
          <w:left w:val="nil"/>
          <w:bottom w:val="nil"/>
          <w:right w:val="nil"/>
          <w:between w:val="nil"/>
        </w:pBdr>
        <w:spacing w:before="5"/>
        <w:rPr>
          <w:rFonts w:ascii="Times New Roman" w:eastAsia="Times New Roman" w:hAnsi="Times New Roman" w:cs="Times New Roman"/>
          <w:b/>
          <w:color w:val="000000"/>
          <w:sz w:val="19"/>
          <w:szCs w:val="19"/>
        </w:rPr>
      </w:pPr>
    </w:p>
    <w:p w14:paraId="6E0EADC7" w14:textId="77777777" w:rsidR="00C44FCD" w:rsidRDefault="00FF36BC">
      <w:pPr>
        <w:spacing w:before="1" w:line="312" w:lineRule="auto"/>
        <w:ind w:left="100" w:right="1078"/>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Al finalizar el curso el estudiante analiza y complementa su formación para que interiorice analíticamente las razones por las que se han realizado las actualizaciones en el ámbito de las contrataciones y adquisiciones con el Estado y conozca cómo se presentan, desarrollan y solucionan las </w:t>
      </w:r>
    </w:p>
    <w:p w14:paraId="442DA739" w14:textId="77777777" w:rsidR="00C44FCD" w:rsidRDefault="00FF36BC">
      <w:pPr>
        <w:spacing w:before="1" w:line="312" w:lineRule="auto"/>
        <w:ind w:left="100" w:right="107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diversas situaciones que se derivan de la misma.</w:t>
      </w:r>
    </w:p>
    <w:p w14:paraId="26752055" w14:textId="77777777" w:rsidR="00C44FCD" w:rsidRDefault="00C44FCD">
      <w:pPr>
        <w:spacing w:before="1" w:line="312" w:lineRule="auto"/>
        <w:ind w:left="100" w:right="1078"/>
        <w:jc w:val="both"/>
        <w:rPr>
          <w:rFonts w:ascii="Times New Roman" w:eastAsia="Times New Roman" w:hAnsi="Times New Roman" w:cs="Times New Roman"/>
          <w:color w:val="000000"/>
          <w:sz w:val="20"/>
          <w:szCs w:val="20"/>
        </w:rPr>
      </w:pPr>
    </w:p>
    <w:p w14:paraId="7666228F" w14:textId="77777777" w:rsidR="00C44FCD" w:rsidRDefault="00FF36BC">
      <w:pPr>
        <w:numPr>
          <w:ilvl w:val="0"/>
          <w:numId w:val="3"/>
        </w:numPr>
        <w:pBdr>
          <w:top w:val="nil"/>
          <w:left w:val="nil"/>
          <w:bottom w:val="nil"/>
          <w:right w:val="nil"/>
          <w:between w:val="nil"/>
        </w:pBdr>
        <w:tabs>
          <w:tab w:val="left" w:pos="370"/>
        </w:tabs>
        <w:ind w:left="370" w:hanging="22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SESIONES DE APRENDIZAJE</w:t>
      </w:r>
    </w:p>
    <w:p w14:paraId="4748C54E" w14:textId="77777777" w:rsidR="00C44FCD" w:rsidRDefault="00C44FCD">
      <w:pPr>
        <w:rPr>
          <w:rFonts w:ascii="Times New Roman" w:eastAsia="Times New Roman" w:hAnsi="Times New Roman" w:cs="Times New Roman"/>
          <w:color w:val="000000"/>
          <w:sz w:val="18"/>
          <w:szCs w:val="18"/>
        </w:rPr>
      </w:pPr>
    </w:p>
    <w:tbl>
      <w:tblPr>
        <w:tblStyle w:val="8"/>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4"/>
      </w:tblGrid>
      <w:tr w:rsidR="00C44FCD" w14:paraId="4366A685" w14:textId="77777777">
        <w:tc>
          <w:tcPr>
            <w:tcW w:w="8784" w:type="dxa"/>
          </w:tcPr>
          <w:p w14:paraId="4DC616D4" w14:textId="77777777" w:rsidR="00C44FCD" w:rsidRPr="00710DAF" w:rsidRDefault="00FF36BC" w:rsidP="00776160">
            <w:pPr>
              <w:ind w:left="190" w:right="317"/>
              <w:jc w:val="both"/>
              <w:rPr>
                <w:rFonts w:ascii="Times New Roman" w:eastAsia="Times New Roman" w:hAnsi="Times New Roman" w:cs="Times New Roman"/>
                <w:b/>
                <w:color w:val="000000"/>
                <w:sz w:val="18"/>
                <w:szCs w:val="18"/>
              </w:rPr>
            </w:pPr>
            <w:r w:rsidRPr="00710DAF">
              <w:rPr>
                <w:rFonts w:ascii="Times New Roman" w:eastAsia="Times New Roman" w:hAnsi="Times New Roman" w:cs="Times New Roman"/>
                <w:b/>
                <w:color w:val="000000"/>
                <w:sz w:val="18"/>
                <w:szCs w:val="18"/>
              </w:rPr>
              <w:t xml:space="preserve">SESION </w:t>
            </w:r>
            <w:proofErr w:type="spellStart"/>
            <w:r w:rsidRPr="00710DAF">
              <w:rPr>
                <w:rFonts w:ascii="Times New Roman" w:eastAsia="Times New Roman" w:hAnsi="Times New Roman" w:cs="Times New Roman"/>
                <w:b/>
                <w:color w:val="000000"/>
                <w:sz w:val="18"/>
                <w:szCs w:val="18"/>
              </w:rPr>
              <w:t>Nº</w:t>
            </w:r>
            <w:proofErr w:type="spellEnd"/>
            <w:r w:rsidRPr="00710DAF">
              <w:rPr>
                <w:rFonts w:ascii="Times New Roman" w:eastAsia="Times New Roman" w:hAnsi="Times New Roman" w:cs="Times New Roman"/>
                <w:b/>
                <w:color w:val="000000"/>
                <w:sz w:val="18"/>
                <w:szCs w:val="18"/>
              </w:rPr>
              <w:t xml:space="preserve">: 1: SISTEMA NACIONAL DE ABASTECIMIENTO, RÉGIMEN DE </w:t>
            </w:r>
            <w:r w:rsidRPr="00710DAF">
              <w:rPr>
                <w:rFonts w:ascii="Times New Roman" w:eastAsia="Times New Roman" w:hAnsi="Times New Roman" w:cs="Times New Roman"/>
                <w:b/>
                <w:sz w:val="18"/>
                <w:szCs w:val="18"/>
              </w:rPr>
              <w:t>CONTRATACIÓN</w:t>
            </w:r>
            <w:r w:rsidRPr="00710DAF">
              <w:rPr>
                <w:rFonts w:ascii="Times New Roman" w:eastAsia="Times New Roman" w:hAnsi="Times New Roman" w:cs="Times New Roman"/>
                <w:b/>
                <w:color w:val="000000"/>
                <w:sz w:val="18"/>
                <w:szCs w:val="18"/>
              </w:rPr>
              <w:t xml:space="preserve"> PÚBLICA DE ACUERDO CON LA LEY </w:t>
            </w:r>
            <w:proofErr w:type="spellStart"/>
            <w:r w:rsidRPr="00710DAF">
              <w:rPr>
                <w:rFonts w:ascii="Times New Roman" w:eastAsia="Times New Roman" w:hAnsi="Times New Roman" w:cs="Times New Roman"/>
                <w:b/>
                <w:color w:val="000000"/>
                <w:sz w:val="18"/>
                <w:szCs w:val="18"/>
              </w:rPr>
              <w:t>Nº</w:t>
            </w:r>
            <w:proofErr w:type="spellEnd"/>
            <w:r w:rsidRPr="00710DAF">
              <w:rPr>
                <w:rFonts w:ascii="Times New Roman" w:eastAsia="Times New Roman" w:hAnsi="Times New Roman" w:cs="Times New Roman"/>
                <w:b/>
                <w:color w:val="000000"/>
                <w:sz w:val="18"/>
                <w:szCs w:val="18"/>
              </w:rPr>
              <w:t xml:space="preserve"> 30225 Y SUS MODIFICACIONES Y REGULACIÓN DE CONTRATACIONES DIRECTAS</w:t>
            </w:r>
          </w:p>
        </w:tc>
      </w:tr>
      <w:tr w:rsidR="00C44FCD" w14:paraId="07AECE0A" w14:textId="77777777">
        <w:tc>
          <w:tcPr>
            <w:tcW w:w="8784" w:type="dxa"/>
          </w:tcPr>
          <w:p w14:paraId="540F1E8C" w14:textId="77777777" w:rsidR="00C44FCD" w:rsidRPr="00710DAF" w:rsidRDefault="00FF36BC" w:rsidP="00776160">
            <w:pPr>
              <w:ind w:left="190" w:right="1660"/>
              <w:jc w:val="both"/>
              <w:rPr>
                <w:rFonts w:ascii="Times New Roman" w:eastAsia="Times New Roman" w:hAnsi="Times New Roman" w:cs="Times New Roman"/>
                <w:b/>
                <w:color w:val="000000"/>
                <w:sz w:val="18"/>
                <w:szCs w:val="18"/>
              </w:rPr>
            </w:pPr>
            <w:r w:rsidRPr="00710DAF">
              <w:rPr>
                <w:rFonts w:ascii="Times New Roman" w:eastAsia="Times New Roman" w:hAnsi="Times New Roman" w:cs="Times New Roman"/>
                <w:b/>
                <w:color w:val="000000"/>
                <w:sz w:val="18"/>
                <w:szCs w:val="18"/>
              </w:rPr>
              <w:t xml:space="preserve">EXPOSITOR: Roberto Benavides </w:t>
            </w:r>
            <w:proofErr w:type="spellStart"/>
            <w:r w:rsidRPr="00710DAF">
              <w:rPr>
                <w:rFonts w:ascii="Times New Roman" w:eastAsia="Times New Roman" w:hAnsi="Times New Roman" w:cs="Times New Roman"/>
                <w:b/>
                <w:color w:val="000000"/>
                <w:sz w:val="18"/>
                <w:szCs w:val="18"/>
              </w:rPr>
              <w:t>Póntex</w:t>
            </w:r>
            <w:proofErr w:type="spellEnd"/>
          </w:p>
          <w:p w14:paraId="6313BFB7" w14:textId="77777777" w:rsidR="00C44FCD" w:rsidRPr="00710DAF" w:rsidRDefault="00C44FCD" w:rsidP="00776160">
            <w:pPr>
              <w:jc w:val="both"/>
              <w:rPr>
                <w:rFonts w:ascii="Times New Roman" w:eastAsia="Times New Roman" w:hAnsi="Times New Roman" w:cs="Times New Roman"/>
                <w:color w:val="000000"/>
                <w:sz w:val="18"/>
                <w:szCs w:val="18"/>
              </w:rPr>
            </w:pPr>
          </w:p>
        </w:tc>
      </w:tr>
      <w:tr w:rsidR="00C44FCD" w14:paraId="5282BB99" w14:textId="77777777">
        <w:tc>
          <w:tcPr>
            <w:tcW w:w="8784" w:type="dxa"/>
          </w:tcPr>
          <w:p w14:paraId="58230117" w14:textId="77777777" w:rsidR="00C44FCD" w:rsidRDefault="00FF36BC" w:rsidP="00776160">
            <w:pPr>
              <w:ind w:left="190" w:right="317"/>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LOGRO</w:t>
            </w:r>
          </w:p>
          <w:p w14:paraId="51EDB6AE" w14:textId="77777777" w:rsidR="00C44FCD" w:rsidRDefault="00FF36BC" w:rsidP="00776160">
            <w:pPr>
              <w:ind w:left="190" w:right="31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 finalizar el curso, el asistente discrimina la pertinencia de tener un sistema nacional de abastecimiento, y conoce los regímenes de contratación pública de acuerdo con la normativa peruana vigente. A su vez, reconoce las modificaciones y regulación de contrataciones directas del marco legal aplicable a los principales contratos que celebra el Estado.</w:t>
            </w:r>
          </w:p>
          <w:p w14:paraId="27861D8F" w14:textId="77777777" w:rsidR="00C44FCD" w:rsidRDefault="00C44FCD" w:rsidP="00776160">
            <w:pPr>
              <w:ind w:left="190" w:right="317"/>
              <w:jc w:val="both"/>
              <w:rPr>
                <w:rFonts w:ascii="Times New Roman" w:eastAsia="Times New Roman" w:hAnsi="Times New Roman" w:cs="Times New Roman"/>
                <w:b/>
                <w:color w:val="000000"/>
                <w:sz w:val="18"/>
                <w:szCs w:val="18"/>
              </w:rPr>
            </w:pPr>
          </w:p>
          <w:p w14:paraId="5F28C373" w14:textId="77777777" w:rsidR="00C44FCD" w:rsidRDefault="00FF36BC" w:rsidP="00776160">
            <w:pPr>
              <w:ind w:left="190" w:right="317"/>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TEMARIO</w:t>
            </w:r>
          </w:p>
          <w:p w14:paraId="2F749ECE" w14:textId="6B7875A0" w:rsidR="00E469D0" w:rsidRDefault="00FF36BC" w:rsidP="00776160">
            <w:pPr>
              <w:pStyle w:val="Prrafodelista"/>
              <w:numPr>
                <w:ilvl w:val="1"/>
                <w:numId w:val="4"/>
              </w:numPr>
              <w:ind w:right="317"/>
              <w:jc w:val="both"/>
              <w:rPr>
                <w:rFonts w:ascii="Times New Roman" w:eastAsia="Times New Roman" w:hAnsi="Times New Roman" w:cs="Times New Roman"/>
                <w:color w:val="000000"/>
                <w:sz w:val="18"/>
                <w:szCs w:val="18"/>
              </w:rPr>
            </w:pPr>
            <w:r w:rsidRPr="00E469D0">
              <w:rPr>
                <w:rFonts w:ascii="Times New Roman" w:eastAsia="Times New Roman" w:hAnsi="Times New Roman" w:cs="Times New Roman"/>
                <w:color w:val="000000"/>
                <w:sz w:val="18"/>
                <w:szCs w:val="18"/>
              </w:rPr>
              <w:t xml:space="preserve">Sistema </w:t>
            </w:r>
            <w:r w:rsidR="00E469D0" w:rsidRPr="00E469D0">
              <w:rPr>
                <w:rFonts w:ascii="Times New Roman" w:eastAsia="Times New Roman" w:hAnsi="Times New Roman" w:cs="Times New Roman"/>
                <w:color w:val="000000"/>
                <w:sz w:val="18"/>
                <w:szCs w:val="18"/>
              </w:rPr>
              <w:t xml:space="preserve">Administrativo </w:t>
            </w:r>
            <w:proofErr w:type="gramStart"/>
            <w:r w:rsidR="00E469D0" w:rsidRPr="00E469D0">
              <w:rPr>
                <w:rFonts w:ascii="Times New Roman" w:eastAsia="Times New Roman" w:hAnsi="Times New Roman" w:cs="Times New Roman"/>
                <w:color w:val="000000"/>
                <w:sz w:val="18"/>
                <w:szCs w:val="18"/>
              </w:rPr>
              <w:t>de Acuerdo a</w:t>
            </w:r>
            <w:proofErr w:type="gramEnd"/>
            <w:r w:rsidR="00E469D0" w:rsidRPr="00E469D0">
              <w:rPr>
                <w:rFonts w:ascii="Times New Roman" w:eastAsia="Times New Roman" w:hAnsi="Times New Roman" w:cs="Times New Roman"/>
                <w:color w:val="000000"/>
                <w:sz w:val="18"/>
                <w:szCs w:val="18"/>
              </w:rPr>
              <w:t xml:space="preserve"> la Ley </w:t>
            </w:r>
            <w:proofErr w:type="spellStart"/>
            <w:r w:rsidR="00E469D0" w:rsidRPr="00E469D0">
              <w:rPr>
                <w:rFonts w:ascii="Times New Roman" w:eastAsia="Times New Roman" w:hAnsi="Times New Roman" w:cs="Times New Roman"/>
                <w:color w:val="000000"/>
                <w:sz w:val="18"/>
                <w:szCs w:val="18"/>
              </w:rPr>
              <w:t>Nª</w:t>
            </w:r>
            <w:proofErr w:type="spellEnd"/>
            <w:r w:rsidR="00E469D0" w:rsidRPr="00E469D0">
              <w:rPr>
                <w:rFonts w:ascii="Times New Roman" w:eastAsia="Times New Roman" w:hAnsi="Times New Roman" w:cs="Times New Roman"/>
                <w:color w:val="000000"/>
                <w:sz w:val="18"/>
                <w:szCs w:val="18"/>
              </w:rPr>
              <w:t xml:space="preserve"> 29158 Ley Orgánica del Poder Ejecutivo </w:t>
            </w:r>
            <w:r w:rsidR="00E469D0">
              <w:rPr>
                <w:rFonts w:ascii="Times New Roman" w:eastAsia="Times New Roman" w:hAnsi="Times New Roman" w:cs="Times New Roman"/>
                <w:color w:val="000000"/>
                <w:sz w:val="18"/>
                <w:szCs w:val="18"/>
              </w:rPr>
              <w:t>–</w:t>
            </w:r>
            <w:r w:rsidR="00E469D0" w:rsidRPr="00E469D0">
              <w:rPr>
                <w:rFonts w:ascii="Times New Roman" w:eastAsia="Times New Roman" w:hAnsi="Times New Roman" w:cs="Times New Roman"/>
                <w:color w:val="000000"/>
                <w:sz w:val="18"/>
                <w:szCs w:val="18"/>
              </w:rPr>
              <w:t xml:space="preserve"> Lope</w:t>
            </w:r>
          </w:p>
          <w:p w14:paraId="074577BC" w14:textId="478A0B08" w:rsidR="00E469D0" w:rsidRPr="00E469D0" w:rsidRDefault="00E469D0" w:rsidP="00776160">
            <w:pPr>
              <w:pStyle w:val="Prrafodelista"/>
              <w:numPr>
                <w:ilvl w:val="2"/>
                <w:numId w:val="5"/>
              </w:numPr>
              <w:ind w:right="317"/>
              <w:jc w:val="both"/>
              <w:rPr>
                <w:rFonts w:ascii="Times New Roman" w:eastAsia="Times New Roman" w:hAnsi="Times New Roman" w:cs="Times New Roman"/>
                <w:color w:val="000000"/>
                <w:sz w:val="18"/>
                <w:szCs w:val="18"/>
              </w:rPr>
            </w:pPr>
            <w:r w:rsidRPr="00E469D0">
              <w:rPr>
                <w:rFonts w:ascii="Times New Roman" w:eastAsia="Times New Roman" w:hAnsi="Times New Roman" w:cs="Times New Roman"/>
                <w:color w:val="000000"/>
                <w:sz w:val="18"/>
                <w:szCs w:val="18"/>
              </w:rPr>
              <w:t>Finalidad</w:t>
            </w:r>
          </w:p>
          <w:p w14:paraId="789A03A0" w14:textId="49B711C7" w:rsidR="00E469D0" w:rsidRDefault="00E469D0" w:rsidP="00776160">
            <w:pPr>
              <w:pStyle w:val="Prrafodelista"/>
              <w:numPr>
                <w:ilvl w:val="2"/>
                <w:numId w:val="5"/>
              </w:numPr>
              <w:ind w:right="31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Criterios de la Programación Multianual de Bienes, Servicios y Obras.</w:t>
            </w:r>
          </w:p>
          <w:p w14:paraId="0F31D47D" w14:textId="4B864CF2" w:rsidR="00E469D0" w:rsidRDefault="00A106A0" w:rsidP="00776160">
            <w:pPr>
              <w:pStyle w:val="Prrafodelista"/>
              <w:numPr>
                <w:ilvl w:val="2"/>
                <w:numId w:val="5"/>
              </w:numPr>
              <w:ind w:right="31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Desarrollo de la Programación Multianual de Bienes, Servicios y Obras.</w:t>
            </w:r>
          </w:p>
          <w:p w14:paraId="7A42BF4B" w14:textId="09A68084" w:rsidR="00A106A0" w:rsidRDefault="00A106A0" w:rsidP="00776160">
            <w:pPr>
              <w:pStyle w:val="Prrafodelista"/>
              <w:numPr>
                <w:ilvl w:val="2"/>
                <w:numId w:val="5"/>
              </w:numPr>
              <w:ind w:right="31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Fases de la Programación Multianual de Bienes, Servicios y Obras.</w:t>
            </w:r>
          </w:p>
          <w:p w14:paraId="539D0CD0" w14:textId="183E3E54" w:rsidR="00A106A0" w:rsidRPr="00E469D0" w:rsidRDefault="00A106A0" w:rsidP="00776160">
            <w:pPr>
              <w:pStyle w:val="Prrafodelista"/>
              <w:numPr>
                <w:ilvl w:val="2"/>
                <w:numId w:val="5"/>
              </w:numPr>
              <w:ind w:right="31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Cuadro Multianual de </w:t>
            </w:r>
            <w:proofErr w:type="spellStart"/>
            <w:r>
              <w:rPr>
                <w:rFonts w:ascii="Times New Roman" w:eastAsia="Times New Roman" w:hAnsi="Times New Roman" w:cs="Times New Roman"/>
                <w:color w:val="000000"/>
                <w:sz w:val="18"/>
                <w:szCs w:val="18"/>
              </w:rPr>
              <w:t>Necesitades</w:t>
            </w:r>
            <w:proofErr w:type="spellEnd"/>
          </w:p>
          <w:p w14:paraId="3AC5FCF0" w14:textId="77777777" w:rsidR="00C44FCD" w:rsidRDefault="00FF36BC" w:rsidP="00776160">
            <w:pPr>
              <w:ind w:left="190" w:right="31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1.2. Régimen de Contratación Pública de acuerdo con la Ley </w:t>
            </w:r>
            <w:proofErr w:type="spellStart"/>
            <w:r>
              <w:rPr>
                <w:rFonts w:ascii="Times New Roman" w:eastAsia="Times New Roman" w:hAnsi="Times New Roman" w:cs="Times New Roman"/>
                <w:color w:val="000000"/>
                <w:sz w:val="18"/>
                <w:szCs w:val="18"/>
              </w:rPr>
              <w:t>Nº</w:t>
            </w:r>
            <w:proofErr w:type="spellEnd"/>
            <w:r>
              <w:rPr>
                <w:rFonts w:ascii="Times New Roman" w:eastAsia="Times New Roman" w:hAnsi="Times New Roman" w:cs="Times New Roman"/>
                <w:color w:val="000000"/>
                <w:sz w:val="18"/>
                <w:szCs w:val="18"/>
              </w:rPr>
              <w:t xml:space="preserve"> 30225 y sus modificaciones.</w:t>
            </w:r>
          </w:p>
          <w:p w14:paraId="58855B74" w14:textId="77777777" w:rsidR="00C44FCD" w:rsidRDefault="00FF36BC" w:rsidP="00776160">
            <w:pPr>
              <w:ind w:left="190" w:right="31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Regulación de Contrataciones Directas.</w:t>
            </w:r>
          </w:p>
          <w:p w14:paraId="0F1249EF" w14:textId="77777777" w:rsidR="00C44FCD" w:rsidRDefault="00C44FCD" w:rsidP="00776160">
            <w:pPr>
              <w:ind w:left="190" w:right="317"/>
              <w:jc w:val="both"/>
              <w:rPr>
                <w:rFonts w:ascii="Times New Roman" w:eastAsia="Times New Roman" w:hAnsi="Times New Roman" w:cs="Times New Roman"/>
                <w:b/>
                <w:color w:val="000000"/>
                <w:sz w:val="18"/>
                <w:szCs w:val="18"/>
              </w:rPr>
            </w:pPr>
          </w:p>
          <w:p w14:paraId="4BAB12AA" w14:textId="77777777" w:rsidR="00C44FCD" w:rsidRDefault="00FF36BC" w:rsidP="00776160">
            <w:pPr>
              <w:ind w:left="190" w:right="317"/>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HORA(S) / SEMANA(S)</w:t>
            </w:r>
          </w:p>
          <w:p w14:paraId="7CF7F07A" w14:textId="77777777" w:rsidR="00C44FCD" w:rsidRDefault="00FF36BC" w:rsidP="00776160">
            <w:pPr>
              <w:ind w:left="175"/>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 Horas/ 4 Semanas</w:t>
            </w:r>
          </w:p>
          <w:p w14:paraId="4ED167AA" w14:textId="77777777" w:rsidR="00C44FCD" w:rsidRDefault="00C44FCD" w:rsidP="00776160">
            <w:pPr>
              <w:jc w:val="both"/>
              <w:rPr>
                <w:rFonts w:ascii="Times New Roman" w:eastAsia="Times New Roman" w:hAnsi="Times New Roman" w:cs="Times New Roman"/>
                <w:color w:val="000000"/>
                <w:sz w:val="18"/>
                <w:szCs w:val="18"/>
              </w:rPr>
            </w:pPr>
          </w:p>
        </w:tc>
      </w:tr>
      <w:tr w:rsidR="00C44FCD" w14:paraId="2E300A86" w14:textId="77777777">
        <w:tc>
          <w:tcPr>
            <w:tcW w:w="8784" w:type="dxa"/>
          </w:tcPr>
          <w:p w14:paraId="7C63CA6C" w14:textId="77777777" w:rsidR="00C44FCD" w:rsidRDefault="00FF36BC"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LECTURAS DE LA SESIÓN</w:t>
            </w:r>
            <w:r>
              <w:rPr>
                <w:rFonts w:ascii="Times New Roman" w:eastAsia="Times New Roman" w:hAnsi="Times New Roman" w:cs="Times New Roman"/>
                <w:color w:val="000000"/>
                <w:sz w:val="18"/>
                <w:szCs w:val="18"/>
              </w:rPr>
              <w:t>:</w:t>
            </w:r>
          </w:p>
          <w:p w14:paraId="57D0F48D" w14:textId="76C847CF" w:rsidR="00C44FCD" w:rsidRDefault="00C44FCD" w:rsidP="00776160">
            <w:pPr>
              <w:ind w:left="306" w:right="322"/>
              <w:jc w:val="both"/>
              <w:rPr>
                <w:rFonts w:ascii="Times New Roman" w:eastAsia="Times New Roman" w:hAnsi="Times New Roman" w:cs="Times New Roman"/>
                <w:color w:val="000000"/>
                <w:sz w:val="18"/>
                <w:szCs w:val="18"/>
              </w:rPr>
            </w:pPr>
          </w:p>
          <w:p w14:paraId="47A8BA48" w14:textId="77777777" w:rsidR="00C44FCD" w:rsidRDefault="00FF36BC" w:rsidP="00776160">
            <w:pPr>
              <w:widowControl/>
              <w:pBdr>
                <w:top w:val="nil"/>
                <w:left w:val="nil"/>
                <w:bottom w:val="nil"/>
                <w:right w:val="nil"/>
                <w:between w:val="nil"/>
              </w:pBdr>
              <w:ind w:left="306" w:right="32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-Benavides </w:t>
            </w:r>
            <w:proofErr w:type="spellStart"/>
            <w:r>
              <w:rPr>
                <w:rFonts w:ascii="Times New Roman" w:eastAsia="Times New Roman" w:hAnsi="Times New Roman" w:cs="Times New Roman"/>
                <w:color w:val="000000"/>
                <w:sz w:val="18"/>
                <w:szCs w:val="18"/>
              </w:rPr>
              <w:t>Póntex</w:t>
            </w:r>
            <w:proofErr w:type="spellEnd"/>
            <w:r>
              <w:rPr>
                <w:rFonts w:ascii="Times New Roman" w:eastAsia="Times New Roman" w:hAnsi="Times New Roman" w:cs="Times New Roman"/>
                <w:color w:val="000000"/>
                <w:sz w:val="18"/>
                <w:szCs w:val="18"/>
              </w:rPr>
              <w:t xml:space="preserve">, R. (2020). La importancia de saber pedir: A propósito del requerimiento en los actos preparatorios de las compras públicas. Revista de Actualidad Administrativa: Análisis Jurídico 226-237. </w:t>
            </w:r>
            <w:hyperlink r:id="rId8">
              <w:r>
                <w:rPr>
                  <w:rFonts w:ascii="Times New Roman" w:eastAsia="Times New Roman" w:hAnsi="Times New Roman" w:cs="Times New Roman"/>
                  <w:color w:val="000000"/>
                  <w:sz w:val="18"/>
                  <w:szCs w:val="18"/>
                </w:rPr>
                <w:t>https://es.slideshare.net/milagroshuaquia/la-importancia-de-saber-pedir-roberto-benavides-pontex-222549803</w:t>
              </w:r>
            </w:hyperlink>
            <w:r>
              <w:rPr>
                <w:rFonts w:ascii="Times New Roman" w:eastAsia="Times New Roman" w:hAnsi="Times New Roman" w:cs="Times New Roman"/>
                <w:color w:val="000000"/>
                <w:sz w:val="18"/>
                <w:szCs w:val="18"/>
              </w:rPr>
              <w:t>.</w:t>
            </w:r>
          </w:p>
          <w:p w14:paraId="2EFF3F36" w14:textId="77777777" w:rsidR="00C44FCD" w:rsidRDefault="00FF36BC" w:rsidP="00776160">
            <w:pPr>
              <w:widowControl/>
              <w:pBdr>
                <w:top w:val="nil"/>
                <w:left w:val="nil"/>
                <w:bottom w:val="nil"/>
                <w:right w:val="nil"/>
                <w:between w:val="nil"/>
              </w:pBdr>
              <w:ind w:left="306" w:right="32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-Benavides </w:t>
            </w:r>
            <w:proofErr w:type="spellStart"/>
            <w:r>
              <w:rPr>
                <w:rFonts w:ascii="Times New Roman" w:eastAsia="Times New Roman" w:hAnsi="Times New Roman" w:cs="Times New Roman"/>
                <w:color w:val="000000"/>
                <w:sz w:val="18"/>
                <w:szCs w:val="18"/>
              </w:rPr>
              <w:t>Póntex</w:t>
            </w:r>
            <w:proofErr w:type="spellEnd"/>
            <w:r>
              <w:rPr>
                <w:rFonts w:ascii="Times New Roman" w:eastAsia="Times New Roman" w:hAnsi="Times New Roman" w:cs="Times New Roman"/>
                <w:color w:val="000000"/>
                <w:sz w:val="18"/>
                <w:szCs w:val="18"/>
              </w:rPr>
              <w:t xml:space="preserve">, R. (2020). ¿Estamos preparados para la vacuna de la COVID 19? Entre el Abastecimiento Público y la política pública de Salud. Revista IUS 360.  </w:t>
            </w:r>
            <w:hyperlink r:id="rId9">
              <w:r>
                <w:rPr>
                  <w:rFonts w:ascii="Times New Roman" w:eastAsia="Times New Roman" w:hAnsi="Times New Roman" w:cs="Times New Roman"/>
                  <w:color w:val="000000"/>
                  <w:sz w:val="18"/>
                  <w:szCs w:val="18"/>
                </w:rPr>
                <w:t>https://ius360.com/contrataciones-publicas/estamos-preparados-para-la-vacuna-de-la-covid-19-entre-el-abastecimiento-publico-y-la-politica-publica-de-salud-roberto-benavides/</w:t>
              </w:r>
            </w:hyperlink>
          </w:p>
          <w:p w14:paraId="672915A3" w14:textId="7C77BD24" w:rsidR="00C44FCD" w:rsidRDefault="00C44FCD" w:rsidP="00776160">
            <w:pPr>
              <w:widowControl/>
              <w:pBdr>
                <w:top w:val="nil"/>
                <w:left w:val="nil"/>
                <w:bottom w:val="nil"/>
                <w:right w:val="nil"/>
                <w:between w:val="nil"/>
              </w:pBdr>
              <w:ind w:left="306" w:right="322"/>
              <w:jc w:val="both"/>
              <w:rPr>
                <w:rFonts w:ascii="Times New Roman" w:eastAsia="Times New Roman" w:hAnsi="Times New Roman" w:cs="Times New Roman"/>
                <w:color w:val="000000"/>
                <w:sz w:val="18"/>
                <w:szCs w:val="18"/>
              </w:rPr>
            </w:pPr>
          </w:p>
        </w:tc>
      </w:tr>
    </w:tbl>
    <w:p w14:paraId="04107746" w14:textId="77777777" w:rsidR="00C44FCD" w:rsidRDefault="00C44FCD" w:rsidP="00776160">
      <w:pPr>
        <w:jc w:val="both"/>
        <w:rPr>
          <w:rFonts w:ascii="Times New Roman" w:eastAsia="Times New Roman" w:hAnsi="Times New Roman" w:cs="Times New Roman"/>
          <w:color w:val="000000"/>
          <w:sz w:val="18"/>
          <w:szCs w:val="18"/>
        </w:rPr>
      </w:pPr>
    </w:p>
    <w:p w14:paraId="06BC5B93" w14:textId="77777777" w:rsidR="00C44FCD" w:rsidRDefault="00C44FCD" w:rsidP="00776160">
      <w:pPr>
        <w:jc w:val="both"/>
        <w:rPr>
          <w:rFonts w:ascii="Times New Roman" w:eastAsia="Times New Roman" w:hAnsi="Times New Roman" w:cs="Times New Roman"/>
          <w:color w:val="000000"/>
          <w:sz w:val="18"/>
          <w:szCs w:val="18"/>
        </w:rPr>
      </w:pPr>
    </w:p>
    <w:tbl>
      <w:tblPr>
        <w:tblStyle w:val="7"/>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4"/>
      </w:tblGrid>
      <w:tr w:rsidR="00C44FCD" w14:paraId="2D644AEF" w14:textId="77777777">
        <w:tc>
          <w:tcPr>
            <w:tcW w:w="8784" w:type="dxa"/>
          </w:tcPr>
          <w:p w14:paraId="0311D126" w14:textId="77777777" w:rsidR="00C44FCD" w:rsidRPr="00710DAF" w:rsidRDefault="00FF36BC" w:rsidP="00776160">
            <w:pPr>
              <w:tabs>
                <w:tab w:val="left" w:pos="8505"/>
              </w:tabs>
              <w:ind w:left="142" w:right="317"/>
              <w:jc w:val="both"/>
              <w:rPr>
                <w:rFonts w:ascii="Times New Roman" w:eastAsia="Times New Roman" w:hAnsi="Times New Roman" w:cs="Times New Roman"/>
                <w:b/>
                <w:color w:val="000000"/>
                <w:sz w:val="18"/>
                <w:szCs w:val="18"/>
              </w:rPr>
            </w:pPr>
            <w:r w:rsidRPr="00710DAF">
              <w:rPr>
                <w:rFonts w:ascii="Times New Roman" w:eastAsia="Times New Roman" w:hAnsi="Times New Roman" w:cs="Times New Roman"/>
                <w:b/>
                <w:color w:val="000000"/>
                <w:sz w:val="18"/>
                <w:szCs w:val="18"/>
              </w:rPr>
              <w:t>SESIÓN 2: MODALIDADES DE CONTRATACIÓN Y MECANISMOS DE RESOLUCIÓN DE CONTROVERSIAS EN EL PROCESO DE SELECCIÓN Y PERFECCIONAMIENTO DE CONTRATO</w:t>
            </w:r>
          </w:p>
          <w:p w14:paraId="5D9161DD" w14:textId="77777777" w:rsidR="00C44FCD" w:rsidRPr="00710DAF" w:rsidRDefault="00C44FCD" w:rsidP="00776160">
            <w:pPr>
              <w:ind w:left="190" w:right="1660"/>
              <w:jc w:val="both"/>
              <w:rPr>
                <w:rFonts w:ascii="Times New Roman" w:eastAsia="Times New Roman" w:hAnsi="Times New Roman" w:cs="Times New Roman"/>
                <w:b/>
                <w:color w:val="000000"/>
                <w:sz w:val="18"/>
                <w:szCs w:val="18"/>
              </w:rPr>
            </w:pPr>
          </w:p>
        </w:tc>
      </w:tr>
      <w:tr w:rsidR="00C44FCD" w14:paraId="4A336CBD" w14:textId="77777777">
        <w:tc>
          <w:tcPr>
            <w:tcW w:w="8784" w:type="dxa"/>
          </w:tcPr>
          <w:p w14:paraId="7B9B6FAA" w14:textId="77777777" w:rsidR="00C44FCD" w:rsidRPr="00710DAF" w:rsidRDefault="00FF36BC" w:rsidP="00776160">
            <w:pPr>
              <w:ind w:firstLine="171"/>
              <w:jc w:val="both"/>
              <w:rPr>
                <w:rFonts w:ascii="Times New Roman" w:eastAsia="Times New Roman" w:hAnsi="Times New Roman" w:cs="Times New Roman"/>
                <w:b/>
                <w:color w:val="000000"/>
                <w:sz w:val="18"/>
                <w:szCs w:val="18"/>
              </w:rPr>
            </w:pPr>
            <w:r w:rsidRPr="00710DAF">
              <w:rPr>
                <w:rFonts w:ascii="Times New Roman" w:eastAsia="Times New Roman" w:hAnsi="Times New Roman" w:cs="Times New Roman"/>
                <w:b/>
                <w:color w:val="000000"/>
                <w:sz w:val="18"/>
                <w:szCs w:val="18"/>
              </w:rPr>
              <w:t>EXPOSITOR: Sandro Hernández Diez</w:t>
            </w:r>
          </w:p>
          <w:p w14:paraId="1517B97B" w14:textId="77777777" w:rsidR="00C44FCD" w:rsidRPr="00710DAF" w:rsidRDefault="00C44FCD" w:rsidP="00776160">
            <w:pPr>
              <w:ind w:firstLine="171"/>
              <w:jc w:val="both"/>
              <w:rPr>
                <w:rFonts w:ascii="Times New Roman" w:eastAsia="Times New Roman" w:hAnsi="Times New Roman" w:cs="Times New Roman"/>
                <w:b/>
                <w:color w:val="000000"/>
                <w:sz w:val="18"/>
                <w:szCs w:val="18"/>
              </w:rPr>
            </w:pPr>
          </w:p>
        </w:tc>
      </w:tr>
      <w:tr w:rsidR="00C44FCD" w14:paraId="3CB162BA" w14:textId="77777777">
        <w:tc>
          <w:tcPr>
            <w:tcW w:w="8784" w:type="dxa"/>
          </w:tcPr>
          <w:p w14:paraId="31DF6C52" w14:textId="77777777" w:rsidR="00C44FCD" w:rsidRDefault="00FF36BC" w:rsidP="00776160">
            <w:pPr>
              <w:tabs>
                <w:tab w:val="center" w:pos="5195"/>
              </w:tabs>
              <w:ind w:left="190" w:right="317"/>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LOGRO</w:t>
            </w:r>
            <w:r>
              <w:rPr>
                <w:rFonts w:ascii="Times New Roman" w:eastAsia="Times New Roman" w:hAnsi="Times New Roman" w:cs="Times New Roman"/>
                <w:b/>
                <w:color w:val="000000"/>
                <w:sz w:val="18"/>
                <w:szCs w:val="18"/>
              </w:rPr>
              <w:tab/>
            </w:r>
          </w:p>
          <w:p w14:paraId="634B6193" w14:textId="77777777" w:rsidR="00C44FCD" w:rsidRDefault="00FF36BC" w:rsidP="00776160">
            <w:pPr>
              <w:pBdr>
                <w:top w:val="nil"/>
                <w:left w:val="nil"/>
                <w:bottom w:val="nil"/>
                <w:right w:val="nil"/>
                <w:between w:val="nil"/>
              </w:pBdr>
              <w:ind w:left="175" w:right="31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 finalizar el curso el estudiante comprende las modalidades de contratación por una entidad estatal destinado a adquirir bienes, servicios, u obras, conociendo los principales aspectos que deben tenerse en consideración para afrontar controversias a través de mecanismos de resolución de controversias en el proceso de selección y perfeccionamiento de contrato. </w:t>
            </w:r>
          </w:p>
          <w:p w14:paraId="5DEB31CC" w14:textId="77777777" w:rsidR="00C44FCD" w:rsidRDefault="00C44FCD" w:rsidP="00776160">
            <w:pPr>
              <w:pBdr>
                <w:top w:val="nil"/>
                <w:left w:val="nil"/>
                <w:bottom w:val="nil"/>
                <w:right w:val="nil"/>
                <w:between w:val="nil"/>
              </w:pBdr>
              <w:ind w:right="317"/>
              <w:jc w:val="both"/>
              <w:rPr>
                <w:rFonts w:ascii="Times New Roman" w:eastAsia="Times New Roman" w:hAnsi="Times New Roman" w:cs="Times New Roman"/>
                <w:b/>
                <w:color w:val="000000"/>
                <w:sz w:val="18"/>
                <w:szCs w:val="18"/>
              </w:rPr>
            </w:pPr>
          </w:p>
          <w:p w14:paraId="22E24071" w14:textId="77777777" w:rsidR="00C44FCD" w:rsidRDefault="00FF36BC" w:rsidP="00776160">
            <w:pPr>
              <w:ind w:left="190" w:right="317"/>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TEMARIO</w:t>
            </w:r>
          </w:p>
          <w:p w14:paraId="5CCF0704" w14:textId="052CF528" w:rsidR="00C44FCD" w:rsidRPr="00A106A0" w:rsidRDefault="00FF36BC" w:rsidP="00776160">
            <w:pPr>
              <w:pStyle w:val="Prrafodelista"/>
              <w:numPr>
                <w:ilvl w:val="1"/>
                <w:numId w:val="2"/>
              </w:numPr>
              <w:pBdr>
                <w:top w:val="nil"/>
                <w:left w:val="nil"/>
                <w:bottom w:val="nil"/>
                <w:right w:val="nil"/>
                <w:between w:val="nil"/>
              </w:pBdr>
              <w:ind w:right="317"/>
              <w:jc w:val="both"/>
              <w:rPr>
                <w:rFonts w:ascii="Times New Roman" w:eastAsia="Times New Roman" w:hAnsi="Times New Roman" w:cs="Times New Roman"/>
                <w:color w:val="000000"/>
                <w:sz w:val="18"/>
                <w:szCs w:val="18"/>
              </w:rPr>
            </w:pPr>
            <w:r w:rsidRPr="00A106A0">
              <w:rPr>
                <w:rFonts w:ascii="Times New Roman" w:eastAsia="Times New Roman" w:hAnsi="Times New Roman" w:cs="Times New Roman"/>
                <w:color w:val="000000"/>
                <w:sz w:val="18"/>
                <w:szCs w:val="18"/>
              </w:rPr>
              <w:t>Modalidades de Contratación.</w:t>
            </w:r>
          </w:p>
          <w:p w14:paraId="4FF1AAA9" w14:textId="16927429" w:rsidR="00A106A0" w:rsidRDefault="00A106A0" w:rsidP="00776160">
            <w:pPr>
              <w:pStyle w:val="Prrafodelista"/>
              <w:numPr>
                <w:ilvl w:val="1"/>
                <w:numId w:val="2"/>
              </w:numPr>
              <w:pBdr>
                <w:top w:val="nil"/>
                <w:left w:val="nil"/>
                <w:bottom w:val="nil"/>
                <w:right w:val="nil"/>
                <w:between w:val="nil"/>
              </w:pBdr>
              <w:ind w:right="31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Procedimientos de Selección acorde a la Ley 30225</w:t>
            </w:r>
          </w:p>
          <w:p w14:paraId="373ED66E" w14:textId="55F0BC3D" w:rsidR="00A106A0" w:rsidRDefault="00A106A0" w:rsidP="00776160">
            <w:pPr>
              <w:pStyle w:val="Prrafodelista"/>
              <w:pBdr>
                <w:top w:val="nil"/>
                <w:left w:val="nil"/>
                <w:bottom w:val="nil"/>
                <w:right w:val="nil"/>
                <w:between w:val="nil"/>
              </w:pBdr>
              <w:ind w:left="599" w:right="31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2.2.1. Licitación Pública.</w:t>
            </w:r>
          </w:p>
          <w:p w14:paraId="145BC00B" w14:textId="2AD1313E" w:rsidR="00A106A0" w:rsidRDefault="00A106A0" w:rsidP="00776160">
            <w:pPr>
              <w:pStyle w:val="Prrafodelista"/>
              <w:pBdr>
                <w:top w:val="nil"/>
                <w:left w:val="nil"/>
                <w:bottom w:val="nil"/>
                <w:right w:val="nil"/>
                <w:between w:val="nil"/>
              </w:pBdr>
              <w:ind w:left="599" w:right="31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2.2.2. Concurso Público</w:t>
            </w:r>
            <w:r w:rsidR="00EB6212">
              <w:rPr>
                <w:rFonts w:ascii="Times New Roman" w:eastAsia="Times New Roman" w:hAnsi="Times New Roman" w:cs="Times New Roman"/>
                <w:color w:val="000000"/>
                <w:sz w:val="18"/>
                <w:szCs w:val="18"/>
              </w:rPr>
              <w:t>.</w:t>
            </w:r>
          </w:p>
          <w:p w14:paraId="2661C37D" w14:textId="25BEFBDE" w:rsidR="00A106A0" w:rsidRDefault="00A106A0" w:rsidP="00776160">
            <w:pPr>
              <w:pStyle w:val="Prrafodelista"/>
              <w:pBdr>
                <w:top w:val="nil"/>
                <w:left w:val="nil"/>
                <w:bottom w:val="nil"/>
                <w:right w:val="nil"/>
                <w:between w:val="nil"/>
              </w:pBdr>
              <w:ind w:left="599" w:right="31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2.2.3. Adjudicación Simplificada</w:t>
            </w:r>
            <w:r w:rsidR="00EB6212">
              <w:rPr>
                <w:rFonts w:ascii="Times New Roman" w:eastAsia="Times New Roman" w:hAnsi="Times New Roman" w:cs="Times New Roman"/>
                <w:color w:val="000000"/>
                <w:sz w:val="18"/>
                <w:szCs w:val="18"/>
              </w:rPr>
              <w:t>.</w:t>
            </w:r>
          </w:p>
          <w:p w14:paraId="2E0F7609" w14:textId="0F724A9A" w:rsidR="00A106A0" w:rsidRDefault="00A106A0" w:rsidP="00776160">
            <w:pPr>
              <w:pStyle w:val="Prrafodelista"/>
              <w:pBdr>
                <w:top w:val="nil"/>
                <w:left w:val="nil"/>
                <w:bottom w:val="nil"/>
                <w:right w:val="nil"/>
                <w:between w:val="nil"/>
              </w:pBdr>
              <w:ind w:left="599" w:right="31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2.2.4. Selección de Consult</w:t>
            </w:r>
            <w:r w:rsidR="00EB6212">
              <w:rPr>
                <w:rFonts w:ascii="Times New Roman" w:eastAsia="Times New Roman" w:hAnsi="Times New Roman" w:cs="Times New Roman"/>
                <w:color w:val="000000"/>
                <w:sz w:val="18"/>
                <w:szCs w:val="18"/>
              </w:rPr>
              <w:t>ores Individuales.</w:t>
            </w:r>
          </w:p>
          <w:p w14:paraId="2EA4B2A3" w14:textId="6B62A900" w:rsidR="00EB6212" w:rsidRDefault="00EB6212" w:rsidP="00776160">
            <w:pPr>
              <w:pStyle w:val="Prrafodelista"/>
              <w:pBdr>
                <w:top w:val="nil"/>
                <w:left w:val="nil"/>
                <w:bottom w:val="nil"/>
                <w:right w:val="nil"/>
                <w:between w:val="nil"/>
              </w:pBdr>
              <w:ind w:left="599" w:right="31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2.2.5. Comparación de Precios.</w:t>
            </w:r>
          </w:p>
          <w:p w14:paraId="42FA6880" w14:textId="60150F7C" w:rsidR="00EB6212" w:rsidRPr="00A106A0" w:rsidRDefault="00EB6212" w:rsidP="00776160">
            <w:pPr>
              <w:pStyle w:val="Prrafodelista"/>
              <w:pBdr>
                <w:top w:val="nil"/>
                <w:left w:val="nil"/>
                <w:bottom w:val="nil"/>
                <w:right w:val="nil"/>
                <w:between w:val="nil"/>
              </w:pBdr>
              <w:ind w:left="599" w:right="31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2.2.6. Contratación Directa.</w:t>
            </w:r>
          </w:p>
          <w:p w14:paraId="0D4D07BD" w14:textId="22FFF61E" w:rsidR="00C44FCD" w:rsidRDefault="00FF36BC" w:rsidP="00776160">
            <w:pPr>
              <w:numPr>
                <w:ilvl w:val="1"/>
                <w:numId w:val="2"/>
              </w:numPr>
              <w:pBdr>
                <w:top w:val="nil"/>
                <w:left w:val="nil"/>
                <w:bottom w:val="nil"/>
                <w:right w:val="nil"/>
                <w:between w:val="nil"/>
              </w:pBdr>
              <w:tabs>
                <w:tab w:val="left" w:pos="585"/>
              </w:tabs>
              <w:ind w:right="31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Mecanismos de Resolución de Controversias en el Proceso de Selección y Perfeccionamiento de Contrato.</w:t>
            </w:r>
          </w:p>
          <w:p w14:paraId="5091B038" w14:textId="2BBFEF2C" w:rsidR="00EB6212" w:rsidRDefault="00EB6212" w:rsidP="00776160">
            <w:pPr>
              <w:pBdr>
                <w:top w:val="nil"/>
                <w:left w:val="nil"/>
                <w:bottom w:val="nil"/>
                <w:right w:val="nil"/>
                <w:between w:val="nil"/>
              </w:pBdr>
              <w:tabs>
                <w:tab w:val="left" w:pos="585"/>
              </w:tabs>
              <w:ind w:left="599" w:right="31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2.3.1. Recurso de Apelación.</w:t>
            </w:r>
          </w:p>
          <w:p w14:paraId="7D47402D" w14:textId="71A475FB" w:rsidR="00EB6212" w:rsidRDefault="00EB6212" w:rsidP="00776160">
            <w:pPr>
              <w:pBdr>
                <w:top w:val="nil"/>
                <w:left w:val="nil"/>
                <w:bottom w:val="nil"/>
                <w:right w:val="nil"/>
                <w:between w:val="nil"/>
              </w:pBdr>
              <w:tabs>
                <w:tab w:val="left" w:pos="585"/>
              </w:tabs>
              <w:ind w:right="317"/>
              <w:jc w:val="both"/>
              <w:rPr>
                <w:rFonts w:ascii="Times New Roman" w:eastAsia="Times New Roman" w:hAnsi="Times New Roman" w:cs="Times New Roman"/>
                <w:color w:val="000000"/>
                <w:sz w:val="18"/>
                <w:szCs w:val="18"/>
              </w:rPr>
            </w:pPr>
          </w:p>
          <w:p w14:paraId="5F2E849F" w14:textId="77777777" w:rsidR="00C44FCD" w:rsidRDefault="00C44FCD" w:rsidP="00776160">
            <w:pPr>
              <w:ind w:left="270" w:right="317"/>
              <w:jc w:val="both"/>
              <w:rPr>
                <w:rFonts w:ascii="Times New Roman" w:eastAsia="Times New Roman" w:hAnsi="Times New Roman" w:cs="Times New Roman"/>
                <w:b/>
                <w:color w:val="000000"/>
                <w:sz w:val="18"/>
                <w:szCs w:val="18"/>
              </w:rPr>
            </w:pPr>
          </w:p>
          <w:p w14:paraId="16A2B2FD" w14:textId="77777777" w:rsidR="00C44FCD" w:rsidRDefault="00FF36BC" w:rsidP="00776160">
            <w:pPr>
              <w:ind w:left="175" w:right="317"/>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HORA(S) / SEMANA(S)</w:t>
            </w:r>
          </w:p>
          <w:p w14:paraId="7AB9449C" w14:textId="77777777" w:rsidR="00C44FCD" w:rsidRDefault="00FF36BC" w:rsidP="00776160">
            <w:pPr>
              <w:ind w:left="175"/>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 Horas/ 4 Semanas</w:t>
            </w:r>
          </w:p>
          <w:p w14:paraId="308A176C" w14:textId="77777777" w:rsidR="00C44FCD" w:rsidRDefault="00C44FCD" w:rsidP="00776160">
            <w:pPr>
              <w:ind w:right="317"/>
              <w:jc w:val="both"/>
              <w:rPr>
                <w:rFonts w:ascii="Times New Roman" w:eastAsia="Times New Roman" w:hAnsi="Times New Roman" w:cs="Times New Roman"/>
                <w:b/>
                <w:color w:val="000000"/>
                <w:sz w:val="18"/>
                <w:szCs w:val="18"/>
              </w:rPr>
            </w:pPr>
          </w:p>
        </w:tc>
      </w:tr>
      <w:tr w:rsidR="00C44FCD" w14:paraId="6F83EDEB" w14:textId="77777777">
        <w:tc>
          <w:tcPr>
            <w:tcW w:w="8784" w:type="dxa"/>
          </w:tcPr>
          <w:p w14:paraId="7C2540E6" w14:textId="77777777" w:rsidR="00C44FCD" w:rsidRDefault="00FF36BC"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lastRenderedPageBreak/>
              <w:t>LECTURAS DE LA SESIÓN</w:t>
            </w:r>
            <w:r>
              <w:rPr>
                <w:rFonts w:ascii="Times New Roman" w:eastAsia="Times New Roman" w:hAnsi="Times New Roman" w:cs="Times New Roman"/>
                <w:b/>
                <w:color w:val="000000"/>
                <w:sz w:val="18"/>
                <w:szCs w:val="18"/>
              </w:rPr>
              <w:t>:</w:t>
            </w:r>
          </w:p>
          <w:p w14:paraId="6665EEB8" w14:textId="6B203DD2" w:rsidR="00C44FCD" w:rsidRPr="00EB6212" w:rsidRDefault="00FF36BC" w:rsidP="00776160">
            <w:pPr>
              <w:ind w:left="164" w:right="32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-Morón, J.C. y Aguilera, </w:t>
            </w:r>
            <w:proofErr w:type="gramStart"/>
            <w:r>
              <w:rPr>
                <w:rFonts w:ascii="Times New Roman" w:eastAsia="Times New Roman" w:hAnsi="Times New Roman" w:cs="Times New Roman"/>
                <w:color w:val="000000"/>
                <w:sz w:val="18"/>
                <w:szCs w:val="18"/>
              </w:rPr>
              <w:t>Z.(</w:t>
            </w:r>
            <w:proofErr w:type="gramEnd"/>
            <w:r>
              <w:rPr>
                <w:rFonts w:ascii="Times New Roman" w:eastAsia="Times New Roman" w:hAnsi="Times New Roman" w:cs="Times New Roman"/>
                <w:color w:val="000000"/>
                <w:sz w:val="18"/>
                <w:szCs w:val="18"/>
              </w:rPr>
              <w:t>2017) Estructura de los Principales Contratos Administrativos Típicos. Editorial Fondo Editorial 55-73.</w:t>
            </w:r>
          </w:p>
        </w:tc>
      </w:tr>
    </w:tbl>
    <w:p w14:paraId="334B51D9" w14:textId="77777777" w:rsidR="00C44FCD" w:rsidRDefault="00C44FCD" w:rsidP="00776160">
      <w:pPr>
        <w:jc w:val="both"/>
        <w:rPr>
          <w:rFonts w:ascii="Times New Roman" w:eastAsia="Times New Roman" w:hAnsi="Times New Roman" w:cs="Times New Roman"/>
          <w:b/>
          <w:color w:val="000000"/>
          <w:sz w:val="20"/>
          <w:szCs w:val="20"/>
        </w:rPr>
      </w:pPr>
    </w:p>
    <w:p w14:paraId="6B8FC6E0" w14:textId="77777777" w:rsidR="00C44FCD" w:rsidRDefault="00C44FCD" w:rsidP="00776160">
      <w:pPr>
        <w:jc w:val="both"/>
        <w:rPr>
          <w:rFonts w:ascii="Times New Roman" w:eastAsia="Times New Roman" w:hAnsi="Times New Roman" w:cs="Times New Roman"/>
          <w:b/>
          <w:color w:val="000000"/>
          <w:sz w:val="20"/>
          <w:szCs w:val="20"/>
        </w:rPr>
      </w:pPr>
    </w:p>
    <w:tbl>
      <w:tblPr>
        <w:tblStyle w:val="6"/>
        <w:tblW w:w="8745"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45"/>
      </w:tblGrid>
      <w:tr w:rsidR="00C44FCD" w14:paraId="32D2FA12" w14:textId="77777777">
        <w:tc>
          <w:tcPr>
            <w:tcW w:w="8745" w:type="dxa"/>
          </w:tcPr>
          <w:p w14:paraId="05CD5F70" w14:textId="77777777" w:rsidR="00C44FCD" w:rsidRPr="00710DAF" w:rsidRDefault="00FF36BC" w:rsidP="00776160">
            <w:pPr>
              <w:ind w:right="176"/>
              <w:jc w:val="both"/>
              <w:rPr>
                <w:rFonts w:ascii="Times New Roman" w:eastAsia="Times New Roman" w:hAnsi="Times New Roman" w:cs="Times New Roman"/>
                <w:b/>
                <w:color w:val="000000"/>
                <w:sz w:val="18"/>
                <w:szCs w:val="18"/>
              </w:rPr>
            </w:pPr>
            <w:r w:rsidRPr="00710DAF">
              <w:rPr>
                <w:rFonts w:ascii="Times New Roman" w:eastAsia="Times New Roman" w:hAnsi="Times New Roman" w:cs="Times New Roman"/>
                <w:b/>
                <w:color w:val="000000"/>
                <w:sz w:val="18"/>
                <w:szCs w:val="18"/>
              </w:rPr>
              <w:t xml:space="preserve">SESIÓN 3: EJECUCIÓN CONTRACTUAL EN EL MARCO DE LA LEY </w:t>
            </w:r>
            <w:proofErr w:type="spellStart"/>
            <w:r w:rsidRPr="00710DAF">
              <w:rPr>
                <w:rFonts w:ascii="Times New Roman" w:eastAsia="Times New Roman" w:hAnsi="Times New Roman" w:cs="Times New Roman"/>
                <w:b/>
                <w:color w:val="000000"/>
                <w:sz w:val="18"/>
                <w:szCs w:val="18"/>
              </w:rPr>
              <w:t>Nº</w:t>
            </w:r>
            <w:proofErr w:type="spellEnd"/>
            <w:r w:rsidRPr="00710DAF">
              <w:rPr>
                <w:rFonts w:ascii="Times New Roman" w:eastAsia="Times New Roman" w:hAnsi="Times New Roman" w:cs="Times New Roman"/>
                <w:b/>
                <w:color w:val="000000"/>
                <w:sz w:val="18"/>
                <w:szCs w:val="18"/>
              </w:rPr>
              <w:t xml:space="preserve"> 30225 - PRIMERA PARTE: MODIFICACIÓN CONVENCIONAL DEL CONTRATO, AMPLIACIONES DEL PLAZO Y ADICIONALES Y REDUCCIONES.</w:t>
            </w:r>
          </w:p>
        </w:tc>
      </w:tr>
      <w:tr w:rsidR="00C44FCD" w14:paraId="12FDB9A3" w14:textId="77777777">
        <w:trPr>
          <w:trHeight w:val="735"/>
        </w:trPr>
        <w:tc>
          <w:tcPr>
            <w:tcW w:w="8745" w:type="dxa"/>
          </w:tcPr>
          <w:p w14:paraId="62D048B9" w14:textId="77777777" w:rsidR="00C44FCD" w:rsidRPr="00710DAF" w:rsidRDefault="00FF36BC" w:rsidP="00776160">
            <w:pPr>
              <w:jc w:val="both"/>
              <w:rPr>
                <w:rFonts w:ascii="Times New Roman" w:eastAsia="Times New Roman" w:hAnsi="Times New Roman" w:cs="Times New Roman"/>
                <w:b/>
                <w:color w:val="000000"/>
                <w:sz w:val="18"/>
                <w:szCs w:val="18"/>
              </w:rPr>
            </w:pPr>
            <w:r w:rsidRPr="00710DAF">
              <w:rPr>
                <w:rFonts w:ascii="Times New Roman" w:eastAsia="Times New Roman" w:hAnsi="Times New Roman" w:cs="Times New Roman"/>
                <w:b/>
                <w:color w:val="000000"/>
                <w:sz w:val="18"/>
                <w:szCs w:val="18"/>
              </w:rPr>
              <w:t>EXPOSITOR: María Hilda Becerra Farfán</w:t>
            </w:r>
          </w:p>
          <w:p w14:paraId="6B82C648" w14:textId="77777777" w:rsidR="00C44FCD" w:rsidRPr="00710DAF" w:rsidRDefault="00C44FCD" w:rsidP="00776160">
            <w:pPr>
              <w:jc w:val="both"/>
              <w:rPr>
                <w:rFonts w:ascii="Times New Roman" w:eastAsia="Times New Roman" w:hAnsi="Times New Roman" w:cs="Times New Roman"/>
                <w:b/>
                <w:color w:val="000000"/>
                <w:sz w:val="18"/>
                <w:szCs w:val="18"/>
              </w:rPr>
            </w:pPr>
          </w:p>
        </w:tc>
      </w:tr>
      <w:tr w:rsidR="00C44FCD" w14:paraId="3A58A00D" w14:textId="77777777">
        <w:tc>
          <w:tcPr>
            <w:tcW w:w="8745" w:type="dxa"/>
          </w:tcPr>
          <w:p w14:paraId="2AC750E6" w14:textId="69B5699F" w:rsidR="00C44FCD" w:rsidRDefault="00FF36BC" w:rsidP="00776160">
            <w:pPr>
              <w:ind w:right="176"/>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LOGRO</w:t>
            </w:r>
          </w:p>
          <w:p w14:paraId="3B774140" w14:textId="77777777" w:rsidR="00C44FCD" w:rsidRDefault="00FF36BC" w:rsidP="00776160">
            <w:pPr>
              <w:pBdr>
                <w:top w:val="nil"/>
                <w:left w:val="nil"/>
                <w:bottom w:val="nil"/>
                <w:right w:val="nil"/>
                <w:between w:val="nil"/>
              </w:pBdr>
              <w:spacing w:before="63"/>
              <w:ind w:right="17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 finalizar el curso, el estudiante discierne la diferencia entre las modificaciones que puede realizar la parte Estatal y </w:t>
            </w:r>
            <w:r>
              <w:rPr>
                <w:rFonts w:ascii="Times New Roman" w:eastAsia="Times New Roman" w:hAnsi="Times New Roman" w:cs="Times New Roman"/>
                <w:sz w:val="18"/>
                <w:szCs w:val="18"/>
              </w:rPr>
              <w:t>del</w:t>
            </w:r>
            <w:r>
              <w:rPr>
                <w:rFonts w:ascii="Times New Roman" w:eastAsia="Times New Roman" w:hAnsi="Times New Roman" w:cs="Times New Roman"/>
                <w:color w:val="000000"/>
                <w:sz w:val="18"/>
                <w:szCs w:val="18"/>
              </w:rPr>
              <w:t xml:space="preserve"> parte contratista para modificar el plazo de contratación en base a ampliaciones el plazo ya sea, por un tiempo adicional o por una reducción dentro del mismo dentro del marco de contratación de la Ley </w:t>
            </w:r>
            <w:proofErr w:type="spellStart"/>
            <w:r>
              <w:rPr>
                <w:rFonts w:ascii="Times New Roman" w:eastAsia="Times New Roman" w:hAnsi="Times New Roman" w:cs="Times New Roman"/>
                <w:color w:val="000000"/>
                <w:sz w:val="18"/>
                <w:szCs w:val="18"/>
              </w:rPr>
              <w:t>Nº</w:t>
            </w:r>
            <w:proofErr w:type="spellEnd"/>
            <w:r>
              <w:rPr>
                <w:rFonts w:ascii="Times New Roman" w:eastAsia="Times New Roman" w:hAnsi="Times New Roman" w:cs="Times New Roman"/>
                <w:color w:val="000000"/>
                <w:sz w:val="18"/>
                <w:szCs w:val="18"/>
              </w:rPr>
              <w:t xml:space="preserve"> 30225.</w:t>
            </w:r>
          </w:p>
          <w:p w14:paraId="690F08D8" w14:textId="77777777" w:rsidR="00C44FCD" w:rsidRDefault="00C44FCD" w:rsidP="00776160">
            <w:pPr>
              <w:ind w:right="176"/>
              <w:jc w:val="both"/>
              <w:rPr>
                <w:rFonts w:ascii="Times New Roman" w:eastAsia="Times New Roman" w:hAnsi="Times New Roman" w:cs="Times New Roman"/>
                <w:b/>
                <w:color w:val="000000"/>
                <w:sz w:val="18"/>
                <w:szCs w:val="18"/>
              </w:rPr>
            </w:pPr>
          </w:p>
          <w:p w14:paraId="00D32316" w14:textId="77777777" w:rsidR="00C44FCD" w:rsidRDefault="00FF36BC" w:rsidP="00776160">
            <w:pPr>
              <w:ind w:right="176"/>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TEMARIO</w:t>
            </w:r>
          </w:p>
          <w:p w14:paraId="03A70E92" w14:textId="77777777" w:rsidR="00C4571F" w:rsidRPr="00EB6212" w:rsidRDefault="00C4571F" w:rsidP="00776160">
            <w:pPr>
              <w:ind w:right="176"/>
              <w:jc w:val="both"/>
              <w:rPr>
                <w:rFonts w:ascii="Times New Roman" w:eastAsia="Times New Roman" w:hAnsi="Times New Roman" w:cs="Times New Roman"/>
                <w:color w:val="000000" w:themeColor="text1"/>
                <w:sz w:val="18"/>
                <w:szCs w:val="18"/>
              </w:rPr>
            </w:pPr>
          </w:p>
          <w:p w14:paraId="3AE6ADF6" w14:textId="4308EDC2" w:rsidR="00C4571F" w:rsidRDefault="00FF36BC" w:rsidP="00776160">
            <w:pPr>
              <w:ind w:right="176"/>
              <w:jc w:val="both"/>
              <w:rPr>
                <w:rFonts w:ascii="Times New Roman" w:eastAsia="Times New Roman" w:hAnsi="Times New Roman" w:cs="Times New Roman"/>
                <w:color w:val="000000" w:themeColor="text1"/>
                <w:sz w:val="18"/>
                <w:szCs w:val="18"/>
              </w:rPr>
            </w:pPr>
            <w:r w:rsidRPr="00EB6212">
              <w:rPr>
                <w:rFonts w:ascii="Times New Roman" w:eastAsia="Times New Roman" w:hAnsi="Times New Roman" w:cs="Times New Roman"/>
                <w:color w:val="000000" w:themeColor="text1"/>
                <w:sz w:val="18"/>
                <w:szCs w:val="18"/>
              </w:rPr>
              <w:t>3.1.</w:t>
            </w:r>
            <w:r w:rsidR="00C4571F" w:rsidRPr="00EB6212">
              <w:rPr>
                <w:rFonts w:ascii="Times New Roman" w:eastAsia="Times New Roman" w:hAnsi="Times New Roman" w:cs="Times New Roman"/>
                <w:color w:val="000000" w:themeColor="text1"/>
                <w:sz w:val="18"/>
                <w:szCs w:val="18"/>
              </w:rPr>
              <w:t xml:space="preserve"> Contenido del Contrato</w:t>
            </w:r>
          </w:p>
          <w:p w14:paraId="489607CA" w14:textId="00C83FFC" w:rsidR="0021153F" w:rsidRDefault="0021153F" w:rsidP="00776160">
            <w:pPr>
              <w:ind w:right="176"/>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3.1.1. Cláusulas Anticorrupción.</w:t>
            </w:r>
          </w:p>
          <w:p w14:paraId="5036883B" w14:textId="092DB170" w:rsidR="0021153F" w:rsidRDefault="0021153F" w:rsidP="00776160">
            <w:pPr>
              <w:ind w:right="176"/>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3.1.2. Obligación de Contratar.</w:t>
            </w:r>
          </w:p>
          <w:p w14:paraId="73BC392B" w14:textId="16EA17D7" w:rsidR="0021153F" w:rsidRPr="00EB6212" w:rsidRDefault="0021153F" w:rsidP="00776160">
            <w:pPr>
              <w:ind w:right="176"/>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3.1.3. Perfeccionamiento del Contrato.</w:t>
            </w:r>
          </w:p>
          <w:p w14:paraId="4C50B4BB" w14:textId="21C3F548" w:rsidR="00CF6FCF" w:rsidRDefault="00C4571F" w:rsidP="00776160">
            <w:pPr>
              <w:ind w:right="176"/>
              <w:jc w:val="both"/>
              <w:rPr>
                <w:rFonts w:ascii="Times New Roman" w:eastAsia="Times New Roman" w:hAnsi="Times New Roman" w:cs="Times New Roman"/>
                <w:color w:val="000000" w:themeColor="text1"/>
                <w:sz w:val="18"/>
                <w:szCs w:val="18"/>
              </w:rPr>
            </w:pPr>
            <w:r w:rsidRPr="00EB6212">
              <w:rPr>
                <w:rFonts w:ascii="Times New Roman" w:eastAsia="Times New Roman" w:hAnsi="Times New Roman" w:cs="Times New Roman"/>
                <w:color w:val="000000" w:themeColor="text1"/>
                <w:sz w:val="18"/>
                <w:szCs w:val="18"/>
              </w:rPr>
              <w:t xml:space="preserve">3.2. </w:t>
            </w:r>
            <w:r w:rsidR="00CF6FCF" w:rsidRPr="00EB6212">
              <w:rPr>
                <w:rFonts w:ascii="Times New Roman" w:eastAsia="Times New Roman" w:hAnsi="Times New Roman" w:cs="Times New Roman"/>
                <w:color w:val="000000" w:themeColor="text1"/>
                <w:sz w:val="18"/>
                <w:szCs w:val="18"/>
              </w:rPr>
              <w:t>Procedimiento y requisitos para la suscripción del contrato</w:t>
            </w:r>
            <w:r w:rsidR="0021153F">
              <w:rPr>
                <w:rFonts w:ascii="Times New Roman" w:eastAsia="Times New Roman" w:hAnsi="Times New Roman" w:cs="Times New Roman"/>
                <w:color w:val="000000" w:themeColor="text1"/>
                <w:sz w:val="18"/>
                <w:szCs w:val="18"/>
              </w:rPr>
              <w:t>.</w:t>
            </w:r>
          </w:p>
          <w:p w14:paraId="75A5970E" w14:textId="56053D9F" w:rsidR="0021153F" w:rsidRDefault="0021153F" w:rsidP="00776160">
            <w:pPr>
              <w:ind w:right="176"/>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3.2.1. Plazo de ejecución contractual.</w:t>
            </w:r>
          </w:p>
          <w:p w14:paraId="77E0CC33" w14:textId="0B597538" w:rsidR="0021153F" w:rsidRDefault="0021153F" w:rsidP="00776160">
            <w:pPr>
              <w:ind w:right="176"/>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3.2.2. Vigencia del Contrato.</w:t>
            </w:r>
          </w:p>
          <w:p w14:paraId="4A27B4D7" w14:textId="4B212994" w:rsidR="0021153F" w:rsidRPr="00EB6212" w:rsidRDefault="0021153F" w:rsidP="00776160">
            <w:pPr>
              <w:ind w:right="176"/>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3.2.3. Garantías.</w:t>
            </w:r>
          </w:p>
          <w:p w14:paraId="1AAF381D" w14:textId="5E702689" w:rsidR="00C44FCD" w:rsidRDefault="00CF6FCF" w:rsidP="00776160">
            <w:pPr>
              <w:ind w:right="176"/>
              <w:jc w:val="both"/>
              <w:rPr>
                <w:rFonts w:ascii="Times New Roman" w:eastAsia="Times New Roman" w:hAnsi="Times New Roman" w:cs="Times New Roman"/>
                <w:color w:val="000000" w:themeColor="text1"/>
                <w:sz w:val="18"/>
                <w:szCs w:val="18"/>
              </w:rPr>
            </w:pPr>
            <w:r w:rsidRPr="00EB6212">
              <w:rPr>
                <w:rFonts w:ascii="Times New Roman" w:eastAsia="Times New Roman" w:hAnsi="Times New Roman" w:cs="Times New Roman"/>
                <w:color w:val="000000" w:themeColor="text1"/>
                <w:sz w:val="18"/>
                <w:szCs w:val="18"/>
              </w:rPr>
              <w:t>3.</w:t>
            </w:r>
            <w:r w:rsidR="0021153F">
              <w:rPr>
                <w:rFonts w:ascii="Times New Roman" w:eastAsia="Times New Roman" w:hAnsi="Times New Roman" w:cs="Times New Roman"/>
                <w:color w:val="000000" w:themeColor="text1"/>
                <w:sz w:val="18"/>
                <w:szCs w:val="18"/>
              </w:rPr>
              <w:t>3.</w:t>
            </w:r>
            <w:r w:rsidRPr="00EB6212">
              <w:rPr>
                <w:rFonts w:ascii="Times New Roman" w:eastAsia="Times New Roman" w:hAnsi="Times New Roman" w:cs="Times New Roman"/>
                <w:color w:val="000000" w:themeColor="text1"/>
                <w:sz w:val="18"/>
                <w:szCs w:val="18"/>
              </w:rPr>
              <w:t xml:space="preserve"> Modificaciones al contrato: Adicionales, reducción de prestaciones, otras mod</w:t>
            </w:r>
            <w:r w:rsidR="00C4571F" w:rsidRPr="00EB6212">
              <w:rPr>
                <w:rFonts w:ascii="Times New Roman" w:eastAsia="Times New Roman" w:hAnsi="Times New Roman" w:cs="Times New Roman"/>
                <w:color w:val="000000" w:themeColor="text1"/>
                <w:sz w:val="18"/>
                <w:szCs w:val="18"/>
              </w:rPr>
              <w:t>ifi</w:t>
            </w:r>
            <w:r w:rsidRPr="00EB6212">
              <w:rPr>
                <w:rFonts w:ascii="Times New Roman" w:eastAsia="Times New Roman" w:hAnsi="Times New Roman" w:cs="Times New Roman"/>
                <w:color w:val="000000" w:themeColor="text1"/>
                <w:sz w:val="18"/>
                <w:szCs w:val="18"/>
              </w:rPr>
              <w:t>caciones</w:t>
            </w:r>
          </w:p>
          <w:p w14:paraId="0F8334B5" w14:textId="6689B2AC" w:rsidR="0021153F" w:rsidRDefault="0021153F" w:rsidP="00776160">
            <w:pPr>
              <w:ind w:right="176"/>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3.3.1. Prestaciones Adicionales</w:t>
            </w:r>
          </w:p>
          <w:p w14:paraId="1D236682" w14:textId="528ADAB3" w:rsidR="0021153F" w:rsidRDefault="0021153F" w:rsidP="00776160">
            <w:pPr>
              <w:ind w:right="176"/>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3.3.2. Ampliación del Plazo Contractual.</w:t>
            </w:r>
          </w:p>
          <w:p w14:paraId="69723253" w14:textId="3D3741CC" w:rsidR="0021153F" w:rsidRDefault="0021153F" w:rsidP="00776160">
            <w:pPr>
              <w:ind w:right="176"/>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3.3.3. Subcontratación.</w:t>
            </w:r>
          </w:p>
          <w:p w14:paraId="76C7ECB4" w14:textId="39B509CC" w:rsidR="0021153F" w:rsidRPr="00EB6212" w:rsidRDefault="0021153F" w:rsidP="00776160">
            <w:pPr>
              <w:ind w:right="176"/>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3.3.4. Cesión de derechos y cesión de posición </w:t>
            </w:r>
            <w:proofErr w:type="spellStart"/>
            <w:r>
              <w:rPr>
                <w:rFonts w:ascii="Times New Roman" w:eastAsia="Times New Roman" w:hAnsi="Times New Roman" w:cs="Times New Roman"/>
                <w:color w:val="000000" w:themeColor="text1"/>
                <w:sz w:val="18"/>
                <w:szCs w:val="18"/>
              </w:rPr>
              <w:t>contratual</w:t>
            </w:r>
            <w:proofErr w:type="spellEnd"/>
            <w:r>
              <w:rPr>
                <w:rFonts w:ascii="Times New Roman" w:eastAsia="Times New Roman" w:hAnsi="Times New Roman" w:cs="Times New Roman"/>
                <w:color w:val="000000" w:themeColor="text1"/>
                <w:sz w:val="18"/>
                <w:szCs w:val="18"/>
              </w:rPr>
              <w:t>.</w:t>
            </w:r>
          </w:p>
          <w:p w14:paraId="4F086536" w14:textId="77777777" w:rsidR="00C44FCD" w:rsidRDefault="00C44FCD" w:rsidP="00776160">
            <w:pPr>
              <w:ind w:right="176"/>
              <w:jc w:val="both"/>
              <w:rPr>
                <w:rFonts w:ascii="Times New Roman" w:eastAsia="Times New Roman" w:hAnsi="Times New Roman" w:cs="Times New Roman"/>
                <w:b/>
                <w:color w:val="000000"/>
                <w:sz w:val="18"/>
                <w:szCs w:val="18"/>
              </w:rPr>
            </w:pPr>
          </w:p>
          <w:p w14:paraId="101F96B2" w14:textId="77777777" w:rsidR="00C44FCD" w:rsidRDefault="00FF36BC" w:rsidP="00776160">
            <w:pPr>
              <w:ind w:right="176"/>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HORA(S) / SEMANA(S)</w:t>
            </w:r>
          </w:p>
          <w:p w14:paraId="26E4E87B" w14:textId="77777777" w:rsidR="00C44FCD" w:rsidRDefault="00FF36BC" w:rsidP="00776160">
            <w:pPr>
              <w:ind w:right="176"/>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Horas / 4 Semanas</w:t>
            </w:r>
          </w:p>
          <w:p w14:paraId="36B78AE7" w14:textId="77777777" w:rsidR="00C44FCD" w:rsidRDefault="00C44FCD" w:rsidP="00776160">
            <w:pPr>
              <w:jc w:val="both"/>
              <w:rPr>
                <w:rFonts w:ascii="Times New Roman" w:eastAsia="Times New Roman" w:hAnsi="Times New Roman" w:cs="Times New Roman"/>
                <w:b/>
                <w:color w:val="000000"/>
                <w:sz w:val="18"/>
                <w:szCs w:val="18"/>
              </w:rPr>
            </w:pPr>
          </w:p>
        </w:tc>
      </w:tr>
      <w:tr w:rsidR="00C44FCD" w:rsidRPr="0021153F" w14:paraId="3E0AE6D7" w14:textId="77777777">
        <w:trPr>
          <w:trHeight w:val="686"/>
        </w:trPr>
        <w:tc>
          <w:tcPr>
            <w:tcW w:w="8745" w:type="dxa"/>
          </w:tcPr>
          <w:p w14:paraId="7500EE48" w14:textId="5B93AA6B" w:rsidR="00C44FCD" w:rsidRPr="0021153F" w:rsidRDefault="00FF36BC" w:rsidP="0021153F">
            <w:pPr>
              <w:pStyle w:val="NormalWeb"/>
              <w:spacing w:before="0" w:beforeAutospacing="0"/>
              <w:jc w:val="both"/>
              <w:rPr>
                <w:color w:val="000000"/>
                <w:sz w:val="18"/>
                <w:szCs w:val="18"/>
                <w:lang w:eastAsia="es-PE"/>
              </w:rPr>
            </w:pPr>
            <w:r w:rsidRPr="0021153F">
              <w:rPr>
                <w:color w:val="000000"/>
                <w:sz w:val="18"/>
                <w:szCs w:val="18"/>
                <w:lang w:eastAsia="es-PE"/>
              </w:rPr>
              <w:t>LECTURAS DE LA SESIÓN:</w:t>
            </w:r>
          </w:p>
          <w:p w14:paraId="2FA344B1" w14:textId="5BB5164A" w:rsidR="00987DBE" w:rsidRPr="0021153F" w:rsidRDefault="00987DBE" w:rsidP="0021153F">
            <w:pPr>
              <w:pStyle w:val="NormalWeb"/>
              <w:spacing w:before="0" w:beforeAutospacing="0"/>
              <w:jc w:val="both"/>
              <w:rPr>
                <w:color w:val="000000"/>
                <w:sz w:val="18"/>
                <w:szCs w:val="18"/>
                <w:lang w:eastAsia="es-PE"/>
              </w:rPr>
            </w:pPr>
            <w:r w:rsidRPr="0021153F">
              <w:rPr>
                <w:color w:val="000000"/>
                <w:sz w:val="18"/>
                <w:szCs w:val="18"/>
                <w:lang w:eastAsia="es-PE"/>
              </w:rPr>
              <w:t xml:space="preserve">- Reglamento de la Ley de contrataciones del Estado y sus modificatorias.  Recuperado de: </w:t>
            </w:r>
            <w:hyperlink r:id="rId10" w:history="1">
              <w:r w:rsidRPr="0021153F">
                <w:rPr>
                  <w:color w:val="000000"/>
                  <w:sz w:val="18"/>
                  <w:szCs w:val="18"/>
                  <w:lang w:eastAsia="es-PE"/>
                </w:rPr>
                <w:t>https://portal.osce.gob.pe/osce/content/ley-de-contrataciones-del-estado-y-reglamento</w:t>
              </w:r>
            </w:hyperlink>
          </w:p>
          <w:p w14:paraId="4D24FF81" w14:textId="7E1778A6" w:rsidR="00F714F9" w:rsidRPr="0021153F" w:rsidRDefault="00F714F9" w:rsidP="0021153F">
            <w:pPr>
              <w:pStyle w:val="NormalWeb"/>
              <w:spacing w:before="0" w:beforeAutospacing="0"/>
              <w:jc w:val="both"/>
              <w:rPr>
                <w:color w:val="000000"/>
                <w:sz w:val="18"/>
                <w:szCs w:val="18"/>
                <w:lang w:eastAsia="es-PE"/>
              </w:rPr>
            </w:pPr>
            <w:r w:rsidRPr="0021153F">
              <w:rPr>
                <w:color w:val="000000"/>
                <w:sz w:val="18"/>
                <w:szCs w:val="18"/>
                <w:lang w:eastAsia="es-PE"/>
              </w:rPr>
              <w:t xml:space="preserve">-Texto Único Ordenado de la Ley </w:t>
            </w:r>
            <w:proofErr w:type="spellStart"/>
            <w:r w:rsidRPr="0021153F">
              <w:rPr>
                <w:color w:val="000000"/>
                <w:sz w:val="18"/>
                <w:szCs w:val="18"/>
                <w:lang w:eastAsia="es-PE"/>
              </w:rPr>
              <w:t>Nº</w:t>
            </w:r>
            <w:proofErr w:type="spellEnd"/>
            <w:r w:rsidRPr="0021153F">
              <w:rPr>
                <w:color w:val="000000"/>
                <w:sz w:val="18"/>
                <w:szCs w:val="18"/>
                <w:lang w:eastAsia="es-PE"/>
              </w:rPr>
              <w:t xml:space="preserve"> 30225, Ley de Contrataciones del Estado (https://portal.osce.gob.pe/osce/sites/default/files/Documentos/legislacion/ley/2018_DL1444/TUO_ley-30225-DS-082-2019-EF.pdf)</w:t>
            </w:r>
          </w:p>
          <w:p w14:paraId="3B6D2F23" w14:textId="6FF49494" w:rsidR="00C44FCD" w:rsidRPr="0021153F" w:rsidRDefault="00EB6212" w:rsidP="0021153F">
            <w:pPr>
              <w:pStyle w:val="NormalWeb"/>
              <w:spacing w:before="0" w:beforeAutospacing="0"/>
              <w:jc w:val="both"/>
              <w:rPr>
                <w:color w:val="000000"/>
                <w:sz w:val="18"/>
                <w:szCs w:val="18"/>
                <w:lang w:eastAsia="es-PE"/>
              </w:rPr>
            </w:pPr>
            <w:r w:rsidRPr="0021153F">
              <w:rPr>
                <w:color w:val="000000"/>
                <w:sz w:val="18"/>
                <w:szCs w:val="18"/>
                <w:lang w:eastAsia="es-PE"/>
              </w:rPr>
              <w:t>-</w:t>
            </w:r>
            <w:r w:rsidR="0028194B" w:rsidRPr="0021153F">
              <w:rPr>
                <w:color w:val="000000"/>
                <w:sz w:val="18"/>
                <w:szCs w:val="18"/>
                <w:lang w:eastAsia="es-PE"/>
              </w:rPr>
              <w:t xml:space="preserve"> EDUARDO MERTEHIKIAN (2003). Acerca de la Utilización de Fideicomisos por el Sector Público. Editorial del Diario de la Nación. (</w:t>
            </w:r>
            <w:hyperlink r:id="rId11" w:history="1">
              <w:r w:rsidR="0028194B" w:rsidRPr="0021153F">
                <w:rPr>
                  <w:color w:val="000000"/>
                  <w:sz w:val="18"/>
                  <w:szCs w:val="18"/>
                  <w:lang w:eastAsia="es-PE"/>
                </w:rPr>
                <w:t>http://eduardomertehikian.com/media_/03.pdf</w:t>
              </w:r>
            </w:hyperlink>
            <w:r w:rsidR="0028194B" w:rsidRPr="0021153F">
              <w:rPr>
                <w:color w:val="000000"/>
                <w:sz w:val="18"/>
                <w:szCs w:val="18"/>
                <w:lang w:eastAsia="es-PE"/>
              </w:rPr>
              <w:t>)</w:t>
            </w:r>
          </w:p>
          <w:p w14:paraId="70DA0ED1" w14:textId="50B79CB0" w:rsidR="0028194B" w:rsidRPr="0021153F" w:rsidRDefault="0028194B" w:rsidP="0021153F">
            <w:pPr>
              <w:pStyle w:val="NormalWeb"/>
              <w:spacing w:before="0" w:beforeAutospacing="0"/>
              <w:jc w:val="both"/>
              <w:rPr>
                <w:color w:val="000000"/>
                <w:sz w:val="18"/>
                <w:szCs w:val="18"/>
                <w:lang w:eastAsia="es-PE"/>
              </w:rPr>
            </w:pPr>
            <w:r w:rsidRPr="0021153F">
              <w:rPr>
                <w:color w:val="000000"/>
                <w:sz w:val="18"/>
                <w:szCs w:val="18"/>
                <w:lang w:eastAsia="es-PE"/>
              </w:rPr>
              <w:lastRenderedPageBreak/>
              <w:t>- Patricia Mier</w:t>
            </w:r>
            <w:r w:rsidR="00F714F9" w:rsidRPr="0021153F">
              <w:rPr>
                <w:color w:val="000000"/>
                <w:sz w:val="18"/>
                <w:szCs w:val="18"/>
                <w:lang w:eastAsia="es-PE"/>
              </w:rPr>
              <w:t xml:space="preserve"> </w:t>
            </w:r>
            <w:r w:rsidRPr="0021153F">
              <w:rPr>
                <w:color w:val="000000"/>
                <w:sz w:val="18"/>
                <w:szCs w:val="18"/>
                <w:lang w:eastAsia="es-PE"/>
              </w:rPr>
              <w:t>(2010). Los riesgos, su identificación, asignación y amortización en los contratos del Estado. Revista de Ingeniería (</w:t>
            </w:r>
            <w:hyperlink r:id="rId12" w:history="1">
              <w:r w:rsidRPr="0021153F">
                <w:rPr>
                  <w:color w:val="000000"/>
                  <w:sz w:val="18"/>
                  <w:szCs w:val="18"/>
                  <w:lang w:eastAsia="es-PE"/>
                </w:rPr>
                <w:t>https://www.caeperu.com/aula-virtual/docente-3/lecturas/MIER-los-riesgos-su-identificacion-asignacion-y-amortizacion-en-los-contratos-del-estado.pdf</w:t>
              </w:r>
            </w:hyperlink>
            <w:r w:rsidRPr="0021153F">
              <w:rPr>
                <w:color w:val="000000"/>
                <w:sz w:val="18"/>
                <w:szCs w:val="18"/>
                <w:lang w:eastAsia="es-PE"/>
              </w:rPr>
              <w:t>)</w:t>
            </w:r>
          </w:p>
          <w:p w14:paraId="14F4F258" w14:textId="44D287EB" w:rsidR="0028194B" w:rsidRPr="0021153F" w:rsidRDefault="0028194B" w:rsidP="0021153F">
            <w:pPr>
              <w:pStyle w:val="NormalWeb"/>
              <w:spacing w:before="0" w:beforeAutospacing="0"/>
              <w:jc w:val="both"/>
              <w:rPr>
                <w:color w:val="000000"/>
                <w:sz w:val="18"/>
                <w:szCs w:val="18"/>
                <w:lang w:eastAsia="es-PE"/>
              </w:rPr>
            </w:pPr>
            <w:r w:rsidRPr="0021153F">
              <w:rPr>
                <w:color w:val="000000"/>
                <w:sz w:val="18"/>
                <w:szCs w:val="18"/>
                <w:lang w:eastAsia="es-PE"/>
              </w:rPr>
              <w:t>-</w:t>
            </w:r>
            <w:r w:rsidR="00F714F9" w:rsidRPr="0021153F">
              <w:rPr>
                <w:color w:val="000000"/>
                <w:sz w:val="18"/>
                <w:szCs w:val="18"/>
                <w:lang w:eastAsia="es-PE"/>
              </w:rPr>
              <w:t xml:space="preserve">Libardo </w:t>
            </w:r>
            <w:proofErr w:type="gramStart"/>
            <w:r w:rsidRPr="0021153F">
              <w:rPr>
                <w:color w:val="000000"/>
                <w:sz w:val="18"/>
                <w:szCs w:val="18"/>
                <w:lang w:eastAsia="es-PE"/>
              </w:rPr>
              <w:t xml:space="preserve">Rodríguez  </w:t>
            </w:r>
            <w:r w:rsidR="00F714F9" w:rsidRPr="0021153F">
              <w:rPr>
                <w:color w:val="000000"/>
                <w:sz w:val="18"/>
                <w:szCs w:val="18"/>
                <w:lang w:eastAsia="es-PE"/>
              </w:rPr>
              <w:t>(</w:t>
            </w:r>
            <w:proofErr w:type="gramEnd"/>
            <w:r w:rsidR="00F714F9" w:rsidRPr="0021153F">
              <w:rPr>
                <w:color w:val="000000"/>
                <w:sz w:val="18"/>
                <w:szCs w:val="18"/>
                <w:lang w:eastAsia="es-PE"/>
              </w:rPr>
              <w:t xml:space="preserve">2011). El equilibrio económico en los contratos administrativos. Revista Derecho PUCP, </w:t>
            </w:r>
            <w:proofErr w:type="spellStart"/>
            <w:r w:rsidR="00F714F9" w:rsidRPr="0021153F">
              <w:rPr>
                <w:color w:val="000000"/>
                <w:sz w:val="18"/>
                <w:szCs w:val="18"/>
                <w:lang w:eastAsia="es-PE"/>
              </w:rPr>
              <w:t>Nº</w:t>
            </w:r>
            <w:proofErr w:type="spellEnd"/>
            <w:r w:rsidR="00F714F9" w:rsidRPr="0021153F">
              <w:rPr>
                <w:color w:val="000000"/>
                <w:sz w:val="18"/>
                <w:szCs w:val="18"/>
                <w:lang w:eastAsia="es-PE"/>
              </w:rPr>
              <w:t xml:space="preserve"> 66 (https://www.caeperu.com/aula-virtual/docente-3/lecturas/RODRIGUEZ-el-equilibrio-economico-en-los-contratos-administrativos.pdf)</w:t>
            </w:r>
          </w:p>
          <w:p w14:paraId="060662DA" w14:textId="4F8BA607" w:rsidR="0028194B" w:rsidRPr="0021153F" w:rsidRDefault="0028194B" w:rsidP="0021153F">
            <w:pPr>
              <w:pStyle w:val="NormalWeb"/>
              <w:spacing w:before="0" w:beforeAutospacing="0"/>
              <w:jc w:val="both"/>
              <w:rPr>
                <w:color w:val="000000"/>
                <w:sz w:val="18"/>
                <w:szCs w:val="18"/>
                <w:lang w:eastAsia="es-PE"/>
              </w:rPr>
            </w:pPr>
          </w:p>
        </w:tc>
      </w:tr>
    </w:tbl>
    <w:p w14:paraId="43468EF0" w14:textId="77777777" w:rsidR="00C44FCD" w:rsidRDefault="00C44FCD" w:rsidP="00776160">
      <w:pPr>
        <w:jc w:val="both"/>
        <w:rPr>
          <w:rFonts w:ascii="Times New Roman" w:eastAsia="Times New Roman" w:hAnsi="Times New Roman" w:cs="Times New Roman"/>
          <w:color w:val="000000"/>
          <w:sz w:val="18"/>
          <w:szCs w:val="18"/>
        </w:rPr>
      </w:pPr>
    </w:p>
    <w:p w14:paraId="04E655F2" w14:textId="77777777" w:rsidR="00C44FCD" w:rsidRDefault="00C44FCD" w:rsidP="00776160">
      <w:pPr>
        <w:jc w:val="both"/>
        <w:rPr>
          <w:rFonts w:ascii="Times New Roman" w:eastAsia="Times New Roman" w:hAnsi="Times New Roman" w:cs="Times New Roman"/>
          <w:sz w:val="18"/>
          <w:szCs w:val="18"/>
        </w:rPr>
      </w:pPr>
    </w:p>
    <w:p w14:paraId="137BE6B4" w14:textId="77777777" w:rsidR="00C44FCD" w:rsidRDefault="00C44FCD" w:rsidP="00776160">
      <w:pPr>
        <w:jc w:val="both"/>
        <w:rPr>
          <w:rFonts w:ascii="Times New Roman" w:eastAsia="Times New Roman" w:hAnsi="Times New Roman" w:cs="Times New Roman"/>
          <w:sz w:val="18"/>
          <w:szCs w:val="18"/>
        </w:rPr>
      </w:pPr>
    </w:p>
    <w:p w14:paraId="134E4D4D" w14:textId="77777777" w:rsidR="00C44FCD" w:rsidRDefault="00C44FCD" w:rsidP="00776160">
      <w:pPr>
        <w:jc w:val="both"/>
        <w:rPr>
          <w:rFonts w:ascii="Times New Roman" w:eastAsia="Times New Roman" w:hAnsi="Times New Roman" w:cs="Times New Roman"/>
          <w:sz w:val="18"/>
          <w:szCs w:val="18"/>
        </w:rPr>
      </w:pPr>
    </w:p>
    <w:p w14:paraId="3DF84882" w14:textId="77777777" w:rsidR="00C44FCD" w:rsidRDefault="00C44FCD" w:rsidP="00776160">
      <w:pPr>
        <w:jc w:val="both"/>
        <w:rPr>
          <w:rFonts w:ascii="Times New Roman" w:eastAsia="Times New Roman" w:hAnsi="Times New Roman" w:cs="Times New Roman"/>
          <w:sz w:val="18"/>
          <w:szCs w:val="18"/>
        </w:rPr>
      </w:pPr>
    </w:p>
    <w:p w14:paraId="79026C47" w14:textId="77777777" w:rsidR="00C44FCD" w:rsidRDefault="00C44FCD" w:rsidP="00776160">
      <w:pPr>
        <w:jc w:val="both"/>
        <w:rPr>
          <w:rFonts w:ascii="Times New Roman" w:eastAsia="Times New Roman" w:hAnsi="Times New Roman" w:cs="Times New Roman"/>
          <w:sz w:val="18"/>
          <w:szCs w:val="18"/>
        </w:rPr>
      </w:pPr>
    </w:p>
    <w:p w14:paraId="6D00E3D0" w14:textId="77777777" w:rsidR="00C44FCD" w:rsidRDefault="00C44FCD" w:rsidP="00776160">
      <w:pPr>
        <w:jc w:val="both"/>
        <w:rPr>
          <w:rFonts w:ascii="Times New Roman" w:eastAsia="Times New Roman" w:hAnsi="Times New Roman" w:cs="Times New Roman"/>
          <w:sz w:val="18"/>
          <w:szCs w:val="18"/>
        </w:rPr>
      </w:pPr>
    </w:p>
    <w:p w14:paraId="5630A4DD" w14:textId="77777777" w:rsidR="00C44FCD" w:rsidRDefault="00C44FCD" w:rsidP="00776160">
      <w:pPr>
        <w:jc w:val="both"/>
        <w:rPr>
          <w:rFonts w:ascii="Times New Roman" w:eastAsia="Times New Roman" w:hAnsi="Times New Roman" w:cs="Times New Roman"/>
          <w:sz w:val="18"/>
          <w:szCs w:val="18"/>
        </w:rPr>
      </w:pPr>
    </w:p>
    <w:p w14:paraId="23318755" w14:textId="77777777" w:rsidR="00C44FCD" w:rsidRDefault="00C44FCD" w:rsidP="00776160">
      <w:pPr>
        <w:jc w:val="both"/>
        <w:rPr>
          <w:rFonts w:ascii="Times New Roman" w:eastAsia="Times New Roman" w:hAnsi="Times New Roman" w:cs="Times New Roman"/>
          <w:sz w:val="18"/>
          <w:szCs w:val="18"/>
        </w:rPr>
      </w:pPr>
    </w:p>
    <w:p w14:paraId="3E218193" w14:textId="77777777" w:rsidR="00C44FCD" w:rsidRDefault="00C44FCD" w:rsidP="00776160">
      <w:pPr>
        <w:jc w:val="both"/>
        <w:rPr>
          <w:rFonts w:ascii="Times New Roman" w:eastAsia="Times New Roman" w:hAnsi="Times New Roman" w:cs="Times New Roman"/>
          <w:sz w:val="18"/>
          <w:szCs w:val="18"/>
        </w:rPr>
      </w:pPr>
    </w:p>
    <w:p w14:paraId="2674B900" w14:textId="77777777" w:rsidR="00C44FCD" w:rsidRDefault="00C44FCD" w:rsidP="00776160">
      <w:pPr>
        <w:jc w:val="both"/>
        <w:rPr>
          <w:rFonts w:ascii="Times New Roman" w:eastAsia="Times New Roman" w:hAnsi="Times New Roman" w:cs="Times New Roman"/>
          <w:sz w:val="18"/>
          <w:szCs w:val="18"/>
        </w:rPr>
      </w:pPr>
    </w:p>
    <w:tbl>
      <w:tblPr>
        <w:tblStyle w:val="5"/>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4"/>
      </w:tblGrid>
      <w:tr w:rsidR="00C44FCD" w14:paraId="36F2BD35" w14:textId="77777777">
        <w:tc>
          <w:tcPr>
            <w:tcW w:w="8784" w:type="dxa"/>
          </w:tcPr>
          <w:p w14:paraId="66E9EB3F" w14:textId="77777777" w:rsidR="00C44FCD" w:rsidRPr="00710DAF" w:rsidRDefault="00FF36BC" w:rsidP="00776160">
            <w:pPr>
              <w:ind w:right="176"/>
              <w:jc w:val="both"/>
              <w:rPr>
                <w:rFonts w:ascii="Times New Roman" w:eastAsia="Times New Roman" w:hAnsi="Times New Roman" w:cs="Times New Roman"/>
                <w:b/>
                <w:color w:val="000000"/>
                <w:sz w:val="18"/>
                <w:szCs w:val="18"/>
              </w:rPr>
            </w:pPr>
            <w:r w:rsidRPr="00710DAF">
              <w:rPr>
                <w:rFonts w:ascii="Times New Roman" w:eastAsia="Times New Roman" w:hAnsi="Times New Roman" w:cs="Times New Roman"/>
                <w:b/>
                <w:color w:val="000000"/>
                <w:sz w:val="18"/>
                <w:szCs w:val="18"/>
              </w:rPr>
              <w:t xml:space="preserve">SESIÓN 4: EJECUCIÓN CONTRACTUAL EN EL MARCO DE LA LEY </w:t>
            </w:r>
            <w:proofErr w:type="spellStart"/>
            <w:r w:rsidRPr="00710DAF">
              <w:rPr>
                <w:rFonts w:ascii="Times New Roman" w:eastAsia="Times New Roman" w:hAnsi="Times New Roman" w:cs="Times New Roman"/>
                <w:b/>
                <w:color w:val="000000"/>
                <w:sz w:val="18"/>
                <w:szCs w:val="18"/>
              </w:rPr>
              <w:t>Nº</w:t>
            </w:r>
            <w:proofErr w:type="spellEnd"/>
            <w:r w:rsidRPr="00710DAF">
              <w:rPr>
                <w:rFonts w:ascii="Times New Roman" w:eastAsia="Times New Roman" w:hAnsi="Times New Roman" w:cs="Times New Roman"/>
                <w:b/>
                <w:color w:val="000000"/>
                <w:sz w:val="18"/>
                <w:szCs w:val="18"/>
              </w:rPr>
              <w:t xml:space="preserve"> 30225 – SEGUNDA PARTE: APLICACIÓN DE PENALIDAD POR MORA Y OTRAS PENALIDADES, EMISIÓN DE CONFORMIDAD Y </w:t>
            </w:r>
            <w:r w:rsidRPr="00710DAF">
              <w:rPr>
                <w:rFonts w:ascii="Times New Roman" w:eastAsia="Times New Roman" w:hAnsi="Times New Roman" w:cs="Times New Roman"/>
                <w:b/>
                <w:sz w:val="18"/>
                <w:szCs w:val="18"/>
              </w:rPr>
              <w:t>PROCEDIMIENTO</w:t>
            </w:r>
            <w:r w:rsidRPr="00710DAF">
              <w:rPr>
                <w:rFonts w:ascii="Times New Roman" w:eastAsia="Times New Roman" w:hAnsi="Times New Roman" w:cs="Times New Roman"/>
                <w:b/>
                <w:color w:val="000000"/>
                <w:sz w:val="18"/>
                <w:szCs w:val="18"/>
              </w:rPr>
              <w:t xml:space="preserve"> DE PAGO Y CONTRATACIONES COMPLEMENTARIAS</w:t>
            </w:r>
          </w:p>
        </w:tc>
      </w:tr>
      <w:tr w:rsidR="00C44FCD" w14:paraId="735350F3" w14:textId="77777777">
        <w:tc>
          <w:tcPr>
            <w:tcW w:w="8784" w:type="dxa"/>
          </w:tcPr>
          <w:p w14:paraId="1951749F" w14:textId="77777777" w:rsidR="00C44FCD" w:rsidRPr="00710DAF" w:rsidRDefault="00FF36BC" w:rsidP="00776160">
            <w:pPr>
              <w:jc w:val="both"/>
              <w:rPr>
                <w:rFonts w:ascii="Times New Roman" w:eastAsia="Times New Roman" w:hAnsi="Times New Roman" w:cs="Times New Roman"/>
                <w:b/>
                <w:color w:val="000000"/>
                <w:sz w:val="18"/>
                <w:szCs w:val="18"/>
              </w:rPr>
            </w:pPr>
            <w:r w:rsidRPr="00710DAF">
              <w:rPr>
                <w:rFonts w:ascii="Times New Roman" w:eastAsia="Times New Roman" w:hAnsi="Times New Roman" w:cs="Times New Roman"/>
                <w:b/>
                <w:color w:val="000000"/>
                <w:sz w:val="18"/>
                <w:szCs w:val="18"/>
              </w:rPr>
              <w:t xml:space="preserve">EXPOSITOR: Daniel </w:t>
            </w:r>
            <w:proofErr w:type="spellStart"/>
            <w:r w:rsidRPr="00710DAF">
              <w:rPr>
                <w:rFonts w:ascii="Times New Roman" w:eastAsia="Times New Roman" w:hAnsi="Times New Roman" w:cs="Times New Roman"/>
                <w:b/>
                <w:color w:val="000000"/>
                <w:sz w:val="18"/>
                <w:szCs w:val="18"/>
              </w:rPr>
              <w:t>Triveño</w:t>
            </w:r>
            <w:proofErr w:type="spellEnd"/>
            <w:r w:rsidRPr="00710DAF">
              <w:rPr>
                <w:rFonts w:ascii="Times New Roman" w:eastAsia="Times New Roman" w:hAnsi="Times New Roman" w:cs="Times New Roman"/>
                <w:b/>
                <w:color w:val="000000"/>
                <w:sz w:val="18"/>
                <w:szCs w:val="18"/>
              </w:rPr>
              <w:t xml:space="preserve"> Daza</w:t>
            </w:r>
          </w:p>
          <w:p w14:paraId="64F3AD7C" w14:textId="77777777" w:rsidR="00C44FCD" w:rsidRPr="00710DAF" w:rsidRDefault="00C44FCD" w:rsidP="00776160">
            <w:pPr>
              <w:jc w:val="both"/>
              <w:rPr>
                <w:rFonts w:ascii="Times New Roman" w:eastAsia="Times New Roman" w:hAnsi="Times New Roman" w:cs="Times New Roman"/>
                <w:b/>
                <w:color w:val="000000"/>
                <w:sz w:val="18"/>
                <w:szCs w:val="18"/>
              </w:rPr>
            </w:pPr>
          </w:p>
        </w:tc>
      </w:tr>
      <w:tr w:rsidR="00C44FCD" w14:paraId="646072C2" w14:textId="77777777">
        <w:tc>
          <w:tcPr>
            <w:tcW w:w="8784" w:type="dxa"/>
          </w:tcPr>
          <w:p w14:paraId="5E55717D" w14:textId="77777777" w:rsidR="00C44FCD" w:rsidRDefault="00FF36BC"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LOGRO</w:t>
            </w:r>
          </w:p>
          <w:p w14:paraId="0EEFA1F4" w14:textId="77777777" w:rsidR="00C44FCD" w:rsidRDefault="00FF36BC"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Logro Competencia: Investigación Jurídica.</w:t>
            </w:r>
          </w:p>
          <w:p w14:paraId="1A24C371" w14:textId="1A53C544" w:rsidR="00C44FCD" w:rsidRDefault="00FF36BC" w:rsidP="00776160">
            <w:pPr>
              <w:ind w:right="176"/>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Al finalizar el curso, el estudiante analiza la finalidad y funcionamiento de los de la aplicación de penalidad contractual. A su vez, </w:t>
            </w:r>
            <w:r>
              <w:rPr>
                <w:rFonts w:ascii="Times New Roman" w:eastAsia="Times New Roman" w:hAnsi="Times New Roman" w:cs="Times New Roman"/>
                <w:sz w:val="18"/>
                <w:szCs w:val="18"/>
              </w:rPr>
              <w:t xml:space="preserve">el asistente comprende y diferencia en qué situaciones se debe aplicar las penalidades por morosidad, retraso, entre otras. De la misma manera diferencia cuales son las circunstancias en las que se </w:t>
            </w:r>
            <w:r w:rsidR="00504FE5">
              <w:rPr>
                <w:rFonts w:ascii="Times New Roman" w:eastAsia="Times New Roman" w:hAnsi="Times New Roman" w:cs="Times New Roman"/>
                <w:sz w:val="18"/>
                <w:szCs w:val="18"/>
              </w:rPr>
              <w:t>brindará</w:t>
            </w:r>
            <w:r>
              <w:rPr>
                <w:rFonts w:ascii="Times New Roman" w:eastAsia="Times New Roman" w:hAnsi="Times New Roman" w:cs="Times New Roman"/>
                <w:sz w:val="18"/>
                <w:szCs w:val="18"/>
              </w:rPr>
              <w:t xml:space="preserve"> la conformidad de la contratación y manejará los procedimientos de pagos que pueden ser </w:t>
            </w:r>
            <w:r w:rsidR="00504FE5">
              <w:rPr>
                <w:rFonts w:ascii="Times New Roman" w:eastAsia="Times New Roman" w:hAnsi="Times New Roman" w:cs="Times New Roman"/>
                <w:sz w:val="18"/>
                <w:szCs w:val="18"/>
              </w:rPr>
              <w:t>utilizados. Finalmente</w:t>
            </w:r>
            <w:r>
              <w:rPr>
                <w:rFonts w:ascii="Times New Roman" w:eastAsia="Times New Roman" w:hAnsi="Times New Roman" w:cs="Times New Roman"/>
                <w:sz w:val="18"/>
                <w:szCs w:val="18"/>
              </w:rPr>
              <w:t xml:space="preserve">, el asistente comprenderá cuáles son las contrataciones complementarias y en qué casos pueden </w:t>
            </w:r>
            <w:r w:rsidR="00504FE5">
              <w:rPr>
                <w:rFonts w:ascii="Times New Roman" w:eastAsia="Times New Roman" w:hAnsi="Times New Roman" w:cs="Times New Roman"/>
                <w:sz w:val="18"/>
                <w:szCs w:val="18"/>
              </w:rPr>
              <w:t>realizarse.</w:t>
            </w:r>
          </w:p>
          <w:p w14:paraId="0F6A8991" w14:textId="77777777" w:rsidR="00C44FCD" w:rsidRDefault="00C44FCD" w:rsidP="00776160">
            <w:pPr>
              <w:ind w:right="176"/>
              <w:jc w:val="both"/>
              <w:rPr>
                <w:rFonts w:ascii="Times New Roman" w:eastAsia="Times New Roman" w:hAnsi="Times New Roman" w:cs="Times New Roman"/>
                <w:color w:val="000000"/>
                <w:sz w:val="18"/>
                <w:szCs w:val="18"/>
              </w:rPr>
            </w:pPr>
          </w:p>
          <w:p w14:paraId="052C260B" w14:textId="77777777" w:rsidR="00C44FCD" w:rsidRDefault="00C44FCD" w:rsidP="00776160">
            <w:pPr>
              <w:jc w:val="both"/>
              <w:rPr>
                <w:rFonts w:ascii="Times New Roman" w:eastAsia="Times New Roman" w:hAnsi="Times New Roman" w:cs="Times New Roman"/>
                <w:b/>
                <w:color w:val="000000"/>
                <w:sz w:val="18"/>
                <w:szCs w:val="18"/>
              </w:rPr>
            </w:pPr>
          </w:p>
          <w:p w14:paraId="09BC277A" w14:textId="77777777" w:rsidR="00C44FCD" w:rsidRDefault="00FF36BC"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TEMARIO</w:t>
            </w:r>
          </w:p>
          <w:p w14:paraId="12431EA2" w14:textId="77777777" w:rsidR="00C44FCD" w:rsidRDefault="00C44FCD" w:rsidP="00776160">
            <w:pPr>
              <w:jc w:val="both"/>
              <w:rPr>
                <w:rFonts w:ascii="Times New Roman" w:eastAsia="Times New Roman" w:hAnsi="Times New Roman" w:cs="Times New Roman"/>
                <w:color w:val="000000"/>
                <w:sz w:val="18"/>
                <w:szCs w:val="18"/>
              </w:rPr>
            </w:pPr>
          </w:p>
          <w:p w14:paraId="33FADFE1" w14:textId="57844732" w:rsidR="00C44FCD" w:rsidRDefault="00FF36BC"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 Aplicación de Penalidad por Mora y otras penalidades.</w:t>
            </w:r>
          </w:p>
          <w:p w14:paraId="08AC1D03" w14:textId="3525A1FA" w:rsidR="00E948F7" w:rsidRDefault="00E948F7"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4.1.1. Penalidad por mora en la ejecución de la prestación.</w:t>
            </w:r>
          </w:p>
          <w:p w14:paraId="7FC3C94F" w14:textId="5D887889" w:rsidR="00504FE5" w:rsidRDefault="00504FE5"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4.1.2. Casos</w:t>
            </w:r>
          </w:p>
          <w:p w14:paraId="3A6B88F7" w14:textId="4378373B" w:rsidR="00C44FCD" w:rsidRDefault="00FF36BC"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4.2. Emisión de conformidad y procedimiento de pago.</w:t>
            </w:r>
          </w:p>
          <w:p w14:paraId="75EB9C29" w14:textId="1F9BC01B" w:rsidR="00504FE5" w:rsidRDefault="00504FE5"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4.2.1. Bienes y Servicios</w:t>
            </w:r>
          </w:p>
          <w:p w14:paraId="4A72377C" w14:textId="57851A20" w:rsidR="00C44FCD" w:rsidRDefault="00FF36BC"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4.3. Contrataciones Complementarias. </w:t>
            </w:r>
          </w:p>
          <w:p w14:paraId="28482F38" w14:textId="0AF52308" w:rsidR="00504FE5" w:rsidRDefault="00504FE5"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4.3.1. Condiciones para realizar contrataciones complementarias.</w:t>
            </w:r>
          </w:p>
          <w:p w14:paraId="1AC75C07" w14:textId="77777777" w:rsidR="00C44FCD" w:rsidRDefault="00C44FCD" w:rsidP="00776160">
            <w:pPr>
              <w:jc w:val="both"/>
              <w:rPr>
                <w:rFonts w:ascii="Times New Roman" w:eastAsia="Times New Roman" w:hAnsi="Times New Roman" w:cs="Times New Roman"/>
                <w:b/>
                <w:color w:val="000000"/>
                <w:sz w:val="18"/>
                <w:szCs w:val="18"/>
              </w:rPr>
            </w:pPr>
          </w:p>
          <w:p w14:paraId="6D22330F" w14:textId="77777777" w:rsidR="00C44FCD" w:rsidRDefault="00FF36BC"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HORA(S) / SEMANA(S)</w:t>
            </w:r>
          </w:p>
          <w:p w14:paraId="540DC155" w14:textId="77777777" w:rsidR="00C44FCD" w:rsidRDefault="00FF36BC"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 Horas/ 4 Semanas</w:t>
            </w:r>
          </w:p>
          <w:p w14:paraId="2EBEAF86" w14:textId="77777777" w:rsidR="00C44FCD" w:rsidRDefault="00C44FCD" w:rsidP="00776160">
            <w:pPr>
              <w:jc w:val="both"/>
              <w:rPr>
                <w:rFonts w:ascii="Times New Roman" w:eastAsia="Times New Roman" w:hAnsi="Times New Roman" w:cs="Times New Roman"/>
                <w:b/>
                <w:color w:val="000000"/>
                <w:sz w:val="18"/>
                <w:szCs w:val="18"/>
              </w:rPr>
            </w:pPr>
          </w:p>
        </w:tc>
      </w:tr>
      <w:tr w:rsidR="00C44FCD" w:rsidRPr="00285EDD" w14:paraId="5EC49AF8" w14:textId="77777777">
        <w:tc>
          <w:tcPr>
            <w:tcW w:w="8784" w:type="dxa"/>
          </w:tcPr>
          <w:p w14:paraId="631F5677" w14:textId="77777777" w:rsidR="00C44FCD" w:rsidRDefault="00FF36BC" w:rsidP="00776160">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LECTURAS DE LA SESIÓN:</w:t>
            </w:r>
          </w:p>
          <w:p w14:paraId="4444F2D7" w14:textId="77777777" w:rsidR="00C44FCD" w:rsidRPr="0021153F" w:rsidRDefault="00FF36BC" w:rsidP="0021153F">
            <w:pPr>
              <w:pStyle w:val="NormalWeb"/>
              <w:spacing w:before="0" w:beforeAutospacing="0"/>
              <w:jc w:val="both"/>
              <w:rPr>
                <w:color w:val="000000"/>
                <w:sz w:val="18"/>
                <w:szCs w:val="18"/>
                <w:lang w:eastAsia="es-PE"/>
              </w:rPr>
            </w:pPr>
            <w:r>
              <w:rPr>
                <w:sz w:val="18"/>
                <w:szCs w:val="18"/>
              </w:rPr>
              <w:t>-</w:t>
            </w:r>
            <w:r w:rsidRPr="0021153F">
              <w:rPr>
                <w:color w:val="000000"/>
                <w:sz w:val="18"/>
                <w:szCs w:val="18"/>
                <w:lang w:eastAsia="es-PE"/>
              </w:rPr>
              <w:t xml:space="preserve">OSCE (2018). Opinión </w:t>
            </w:r>
            <w:proofErr w:type="spellStart"/>
            <w:r w:rsidRPr="0021153F">
              <w:rPr>
                <w:color w:val="000000"/>
                <w:sz w:val="18"/>
                <w:szCs w:val="18"/>
                <w:lang w:eastAsia="es-PE"/>
              </w:rPr>
              <w:t>Nº</w:t>
            </w:r>
            <w:proofErr w:type="spellEnd"/>
            <w:r w:rsidRPr="0021153F">
              <w:rPr>
                <w:color w:val="000000"/>
                <w:sz w:val="18"/>
                <w:szCs w:val="18"/>
                <w:lang w:eastAsia="es-PE"/>
              </w:rPr>
              <w:t xml:space="preserve"> 061-2018/DTN: Aplicación de penalidades. Recuperado de:</w:t>
            </w:r>
            <w:hyperlink r:id="rId13">
              <w:r w:rsidRPr="0021153F">
                <w:rPr>
                  <w:color w:val="000000"/>
                  <w:sz w:val="18"/>
                  <w:szCs w:val="18"/>
                  <w:lang w:eastAsia="es-PE"/>
                </w:rPr>
                <w:t>https://portal.osce.gob.pe/osce/sites/default/files/Documentos/legislacion/Legislacion%20y%20Documentos%20Elaborados%20por%20el%20OSCE/Opiniones_2018/061-18%20-%20BAFUR%20SCR%20%20LTDA.docx</w:t>
              </w:r>
            </w:hyperlink>
          </w:p>
          <w:p w14:paraId="2424F341" w14:textId="77777777" w:rsidR="00C44FCD" w:rsidRPr="0021153F" w:rsidRDefault="00FF36BC" w:rsidP="0021153F">
            <w:pPr>
              <w:pStyle w:val="NormalWeb"/>
              <w:spacing w:before="0" w:beforeAutospacing="0"/>
              <w:jc w:val="both"/>
              <w:rPr>
                <w:color w:val="000000"/>
                <w:sz w:val="18"/>
                <w:szCs w:val="18"/>
                <w:lang w:eastAsia="es-PE"/>
              </w:rPr>
            </w:pPr>
            <w:r w:rsidRPr="0021153F">
              <w:rPr>
                <w:color w:val="000000"/>
                <w:sz w:val="18"/>
                <w:szCs w:val="18"/>
                <w:lang w:eastAsia="es-PE"/>
              </w:rPr>
              <w:t xml:space="preserve">-OSCE (2019). Opinión </w:t>
            </w:r>
            <w:proofErr w:type="spellStart"/>
            <w:r w:rsidRPr="0021153F">
              <w:rPr>
                <w:color w:val="000000"/>
                <w:sz w:val="18"/>
                <w:szCs w:val="18"/>
                <w:lang w:eastAsia="es-PE"/>
              </w:rPr>
              <w:t>Nº</w:t>
            </w:r>
            <w:proofErr w:type="spellEnd"/>
            <w:r w:rsidRPr="0021153F">
              <w:rPr>
                <w:color w:val="000000"/>
                <w:sz w:val="18"/>
                <w:szCs w:val="18"/>
                <w:lang w:eastAsia="es-PE"/>
              </w:rPr>
              <w:t xml:space="preserve"> 120-2019/DTN: Aplicación de otras penalidades. Recuperado de:</w:t>
            </w:r>
            <w:hyperlink r:id="rId14">
              <w:r w:rsidRPr="0021153F">
                <w:rPr>
                  <w:color w:val="000000"/>
                  <w:sz w:val="18"/>
                  <w:szCs w:val="18"/>
                  <w:lang w:eastAsia="es-PE"/>
                </w:rPr>
                <w:t>https://portal.osce.gob.pe/osce/sites/default/files/Documentos/legislacion/Legislacion%20y%20Documentos%20Elaborados%20por%20el%20OSCE/Opiniones_2019/120-19%20MUNI%20CORONEL%20PORTILLO%20penalidad.docx</w:t>
              </w:r>
            </w:hyperlink>
          </w:p>
          <w:p w14:paraId="3894D397" w14:textId="77777777" w:rsidR="00C44FCD" w:rsidRPr="0021153F" w:rsidRDefault="00FF36BC" w:rsidP="0021153F">
            <w:pPr>
              <w:pStyle w:val="NormalWeb"/>
              <w:spacing w:before="0" w:beforeAutospacing="0"/>
              <w:jc w:val="both"/>
              <w:rPr>
                <w:color w:val="000000"/>
                <w:sz w:val="18"/>
                <w:szCs w:val="18"/>
                <w:lang w:eastAsia="es-PE"/>
              </w:rPr>
            </w:pPr>
            <w:r w:rsidRPr="0021153F">
              <w:rPr>
                <w:color w:val="000000"/>
                <w:sz w:val="18"/>
                <w:szCs w:val="18"/>
                <w:lang w:eastAsia="es-PE"/>
              </w:rPr>
              <w:lastRenderedPageBreak/>
              <w:t xml:space="preserve">-OSCE (2019). Opinión </w:t>
            </w:r>
            <w:proofErr w:type="spellStart"/>
            <w:r w:rsidRPr="0021153F">
              <w:rPr>
                <w:color w:val="000000"/>
                <w:sz w:val="18"/>
                <w:szCs w:val="18"/>
                <w:lang w:eastAsia="es-PE"/>
              </w:rPr>
              <w:t>Nº</w:t>
            </w:r>
            <w:proofErr w:type="spellEnd"/>
            <w:r w:rsidRPr="0021153F">
              <w:rPr>
                <w:color w:val="000000"/>
                <w:sz w:val="18"/>
                <w:szCs w:val="18"/>
                <w:lang w:eastAsia="es-PE"/>
              </w:rPr>
              <w:t xml:space="preserve"> 131-2019/DTN: Aplicación de otras penalidades. Recuperado de:</w:t>
            </w:r>
            <w:hyperlink r:id="rId15">
              <w:r w:rsidRPr="0021153F">
                <w:rPr>
                  <w:color w:val="000000"/>
                  <w:sz w:val="18"/>
                  <w:szCs w:val="18"/>
                  <w:lang w:eastAsia="es-PE"/>
                </w:rPr>
                <w:t>https://portal.osce.gob.pe/osce/sites/default/files/Documentos/legislacion/Legislacion%20y%20Documentos%20Elaborados%20por%20el%20OSCE/Opiniones_2019/131-2019%20-%20TD.%2015104676%20-%20MINISTERIO%20DE%20ENERGIA%20Y%20MINAS%20-%20%20Aplicaci%C3%B3n%20de%20otras%20penalidades.doc</w:t>
              </w:r>
            </w:hyperlink>
          </w:p>
          <w:p w14:paraId="40860C91" w14:textId="77777777" w:rsidR="00C44FCD" w:rsidRPr="0021153F" w:rsidRDefault="00FF36BC" w:rsidP="0021153F">
            <w:pPr>
              <w:pStyle w:val="NormalWeb"/>
              <w:spacing w:before="0" w:beforeAutospacing="0"/>
              <w:jc w:val="both"/>
              <w:rPr>
                <w:color w:val="000000"/>
                <w:sz w:val="18"/>
                <w:szCs w:val="18"/>
                <w:lang w:eastAsia="es-PE"/>
              </w:rPr>
            </w:pPr>
            <w:r w:rsidRPr="0021153F">
              <w:rPr>
                <w:color w:val="000000"/>
                <w:sz w:val="18"/>
                <w:szCs w:val="18"/>
                <w:lang w:eastAsia="es-PE"/>
              </w:rPr>
              <w:t xml:space="preserve">-OSCE (2018). Opinión </w:t>
            </w:r>
            <w:proofErr w:type="spellStart"/>
            <w:r w:rsidRPr="0021153F">
              <w:rPr>
                <w:color w:val="000000"/>
                <w:sz w:val="18"/>
                <w:szCs w:val="18"/>
                <w:lang w:eastAsia="es-PE"/>
              </w:rPr>
              <w:t>Nº</w:t>
            </w:r>
            <w:proofErr w:type="spellEnd"/>
            <w:r w:rsidRPr="0021153F">
              <w:rPr>
                <w:color w:val="000000"/>
                <w:sz w:val="18"/>
                <w:szCs w:val="18"/>
                <w:lang w:eastAsia="es-PE"/>
              </w:rPr>
              <w:t xml:space="preserve"> 202-2018/DTN: Procedimiento de recepción y conformidad. Recuperado</w:t>
            </w:r>
            <w:r>
              <w:rPr>
                <w:sz w:val="18"/>
                <w:szCs w:val="18"/>
              </w:rPr>
              <w:t xml:space="preserve"> </w:t>
            </w:r>
            <w:r w:rsidRPr="0021153F">
              <w:rPr>
                <w:color w:val="000000"/>
                <w:sz w:val="18"/>
                <w:szCs w:val="18"/>
                <w:lang w:eastAsia="es-PE"/>
              </w:rPr>
              <w:t>de:</w:t>
            </w:r>
            <w:hyperlink r:id="rId16">
              <w:r w:rsidRPr="0021153F">
                <w:rPr>
                  <w:color w:val="000000"/>
                  <w:sz w:val="18"/>
                  <w:szCs w:val="18"/>
                  <w:lang w:eastAsia="es-PE"/>
                </w:rPr>
                <w:t>https://portal.osce.gob.pe/osce/sites/default/files/Documentos/legislacion/Legislacion%20y%20Documentos%20Elaborados%20por%20el%20OSCE/Opiniones_2018/202-18%20-%20TD%2013834047%20-%20Gob.%20Reg.%20Huancavelica.docx</w:t>
              </w:r>
            </w:hyperlink>
          </w:p>
          <w:p w14:paraId="719CDFCE" w14:textId="77777777" w:rsidR="00C44FCD" w:rsidRPr="0021153F" w:rsidRDefault="00FF36BC" w:rsidP="0021153F">
            <w:pPr>
              <w:pStyle w:val="NormalWeb"/>
              <w:spacing w:before="0" w:beforeAutospacing="0"/>
              <w:jc w:val="both"/>
              <w:rPr>
                <w:color w:val="000000"/>
                <w:sz w:val="18"/>
                <w:szCs w:val="18"/>
                <w:lang w:eastAsia="es-PE"/>
              </w:rPr>
            </w:pPr>
            <w:r w:rsidRPr="0021153F">
              <w:rPr>
                <w:color w:val="000000"/>
                <w:sz w:val="18"/>
                <w:szCs w:val="18"/>
                <w:lang w:eastAsia="es-PE"/>
              </w:rPr>
              <w:t xml:space="preserve">--OSCE (2018). Opinión </w:t>
            </w:r>
            <w:proofErr w:type="spellStart"/>
            <w:r w:rsidRPr="0021153F">
              <w:rPr>
                <w:color w:val="000000"/>
                <w:sz w:val="18"/>
                <w:szCs w:val="18"/>
                <w:lang w:eastAsia="es-PE"/>
              </w:rPr>
              <w:t>Nº</w:t>
            </w:r>
            <w:proofErr w:type="spellEnd"/>
            <w:r w:rsidRPr="0021153F">
              <w:rPr>
                <w:color w:val="000000"/>
                <w:sz w:val="18"/>
                <w:szCs w:val="18"/>
                <w:lang w:eastAsia="es-PE"/>
              </w:rPr>
              <w:t xml:space="preserve"> 214-2018/DTN: Conformidad del servicio. Recuperado de:</w:t>
            </w:r>
            <w:hyperlink r:id="rId17">
              <w:r w:rsidRPr="0021153F">
                <w:rPr>
                  <w:color w:val="000000"/>
                  <w:sz w:val="18"/>
                  <w:szCs w:val="18"/>
                  <w:lang w:eastAsia="es-PE"/>
                </w:rPr>
                <w:t>https://portal.osce.gob.pe/osce/sites/default/files/Documentos/legislacion/Legislacion%20y%20Documentos%20Elaborados%20por%20el%20OSCE/Opiniones_2018/214-19%20-%20PRIETO%20INGENIEROS%20CONSULTORES%20S.A.%20-%20Conformidad%20del%20servicio%20%28T.D.%2013822146%20-%2014054728%29.doc</w:t>
              </w:r>
            </w:hyperlink>
          </w:p>
          <w:p w14:paraId="72C3496C" w14:textId="77777777" w:rsidR="00C44FCD" w:rsidRPr="0021153F" w:rsidRDefault="00FF36BC" w:rsidP="0021153F">
            <w:pPr>
              <w:pStyle w:val="NormalWeb"/>
              <w:spacing w:before="0" w:beforeAutospacing="0"/>
              <w:jc w:val="both"/>
              <w:rPr>
                <w:color w:val="000000"/>
                <w:sz w:val="18"/>
                <w:szCs w:val="18"/>
                <w:lang w:eastAsia="es-PE"/>
              </w:rPr>
            </w:pPr>
            <w:r w:rsidRPr="0021153F">
              <w:rPr>
                <w:color w:val="000000"/>
                <w:sz w:val="18"/>
                <w:szCs w:val="18"/>
                <w:lang w:eastAsia="es-PE"/>
              </w:rPr>
              <w:t xml:space="preserve">-OSCE (2019). Opinión </w:t>
            </w:r>
            <w:proofErr w:type="spellStart"/>
            <w:r w:rsidRPr="0021153F">
              <w:rPr>
                <w:color w:val="000000"/>
                <w:sz w:val="18"/>
                <w:szCs w:val="18"/>
                <w:lang w:eastAsia="es-PE"/>
              </w:rPr>
              <w:t>Nº</w:t>
            </w:r>
            <w:proofErr w:type="spellEnd"/>
            <w:r w:rsidRPr="0021153F">
              <w:rPr>
                <w:color w:val="000000"/>
                <w:sz w:val="18"/>
                <w:szCs w:val="18"/>
                <w:lang w:eastAsia="es-PE"/>
              </w:rPr>
              <w:t xml:space="preserve"> 016-2019/</w:t>
            </w:r>
            <w:proofErr w:type="spellStart"/>
            <w:proofErr w:type="gramStart"/>
            <w:r w:rsidRPr="0021153F">
              <w:rPr>
                <w:color w:val="000000"/>
                <w:sz w:val="18"/>
                <w:szCs w:val="18"/>
                <w:lang w:eastAsia="es-PE"/>
              </w:rPr>
              <w:t>DTN:Plazo</w:t>
            </w:r>
            <w:proofErr w:type="spellEnd"/>
            <w:proofErr w:type="gramEnd"/>
            <w:r w:rsidRPr="0021153F">
              <w:rPr>
                <w:color w:val="000000"/>
                <w:sz w:val="18"/>
                <w:szCs w:val="18"/>
                <w:lang w:eastAsia="es-PE"/>
              </w:rPr>
              <w:t xml:space="preserve"> para subsanar las observaciones en la ejecución de prestaciones de contratos de bienes, servicios en general y/o consultorías. Recuperado de :</w:t>
            </w:r>
            <w:hyperlink r:id="rId18">
              <w:r w:rsidRPr="0021153F">
                <w:rPr>
                  <w:color w:val="000000"/>
                  <w:sz w:val="18"/>
                  <w:szCs w:val="18"/>
                  <w:lang w:eastAsia="es-PE"/>
                </w:rPr>
                <w:t xml:space="preserve"> </w:t>
              </w:r>
            </w:hyperlink>
            <w:hyperlink r:id="rId19">
              <w:r w:rsidRPr="0021153F">
                <w:rPr>
                  <w:color w:val="000000"/>
                  <w:sz w:val="18"/>
                  <w:szCs w:val="18"/>
                  <w:lang w:eastAsia="es-PE"/>
                </w:rPr>
                <w:t>https://portal.osce.gob.pe/osce/sites/default/files/Documentos/legislacion/Legislacion%20y%20Documentos%20Elaborados%20por%20el%20OSCE/Opiniones_2019/016-18%20-%20TD.%2014075167%20-%20Superintendencia%20de%20%20Banca%20y%20Seguros.docx</w:t>
              </w:r>
            </w:hyperlink>
          </w:p>
          <w:p w14:paraId="604C4C11" w14:textId="24223121" w:rsidR="00F714F9" w:rsidRPr="0021153F" w:rsidRDefault="00F714F9" w:rsidP="0021153F">
            <w:pPr>
              <w:pStyle w:val="NormalWeb"/>
              <w:spacing w:before="0" w:beforeAutospacing="0"/>
              <w:jc w:val="both"/>
              <w:rPr>
                <w:color w:val="000000"/>
                <w:sz w:val="18"/>
                <w:szCs w:val="18"/>
                <w:lang w:eastAsia="es-PE"/>
              </w:rPr>
            </w:pPr>
            <w:r w:rsidRPr="0021153F">
              <w:rPr>
                <w:color w:val="000000"/>
                <w:sz w:val="18"/>
                <w:szCs w:val="18"/>
                <w:lang w:eastAsia="es-PE"/>
              </w:rPr>
              <w:t>-MEF (2020).</w:t>
            </w:r>
            <w:r w:rsidR="00285EDD" w:rsidRPr="0021153F">
              <w:rPr>
                <w:color w:val="000000"/>
                <w:sz w:val="18"/>
                <w:szCs w:val="18"/>
                <w:lang w:eastAsia="es-PE"/>
              </w:rPr>
              <w:t xml:space="preserve"> Oficio </w:t>
            </w:r>
            <w:proofErr w:type="spellStart"/>
            <w:r w:rsidR="00285EDD" w:rsidRPr="0021153F">
              <w:rPr>
                <w:color w:val="000000"/>
                <w:sz w:val="18"/>
                <w:szCs w:val="18"/>
                <w:lang w:eastAsia="es-PE"/>
              </w:rPr>
              <w:t>Nº</w:t>
            </w:r>
            <w:proofErr w:type="spellEnd"/>
            <w:r w:rsidR="00285EDD" w:rsidRPr="0021153F">
              <w:rPr>
                <w:color w:val="000000"/>
                <w:sz w:val="18"/>
                <w:szCs w:val="18"/>
                <w:lang w:eastAsia="es-PE"/>
              </w:rPr>
              <w:t xml:space="preserve"> 023-2020-EF/43.03</w:t>
            </w:r>
          </w:p>
          <w:p w14:paraId="2CD35CD9" w14:textId="7D9EC8AD" w:rsidR="00F714F9" w:rsidRPr="0021153F" w:rsidRDefault="00F714F9" w:rsidP="0021153F">
            <w:pPr>
              <w:pStyle w:val="NormalWeb"/>
              <w:spacing w:before="0" w:beforeAutospacing="0"/>
              <w:jc w:val="both"/>
              <w:rPr>
                <w:color w:val="000000"/>
                <w:sz w:val="18"/>
                <w:szCs w:val="18"/>
                <w:lang w:eastAsia="es-PE"/>
              </w:rPr>
            </w:pPr>
            <w:r w:rsidRPr="0021153F">
              <w:rPr>
                <w:color w:val="000000"/>
                <w:sz w:val="18"/>
                <w:szCs w:val="18"/>
                <w:lang w:eastAsia="es-PE"/>
              </w:rPr>
              <w:t>-MEF (2020).</w:t>
            </w:r>
            <w:r w:rsidR="00285EDD" w:rsidRPr="0021153F">
              <w:rPr>
                <w:color w:val="000000"/>
                <w:sz w:val="18"/>
                <w:szCs w:val="18"/>
                <w:lang w:eastAsia="es-PE"/>
              </w:rPr>
              <w:t xml:space="preserve"> Oficio </w:t>
            </w:r>
            <w:proofErr w:type="spellStart"/>
            <w:r w:rsidR="00285EDD" w:rsidRPr="0021153F">
              <w:rPr>
                <w:color w:val="000000"/>
                <w:sz w:val="18"/>
                <w:szCs w:val="18"/>
                <w:lang w:eastAsia="es-PE"/>
              </w:rPr>
              <w:t>Nº</w:t>
            </w:r>
            <w:proofErr w:type="spellEnd"/>
            <w:r w:rsidR="00285EDD" w:rsidRPr="0021153F">
              <w:rPr>
                <w:color w:val="000000"/>
                <w:sz w:val="18"/>
                <w:szCs w:val="18"/>
                <w:lang w:eastAsia="es-PE"/>
              </w:rPr>
              <w:t xml:space="preserve"> 040-2020-EF/43.03</w:t>
            </w:r>
          </w:p>
          <w:p w14:paraId="7028EFE8" w14:textId="0DF6E841" w:rsidR="00F714F9" w:rsidRPr="0021153F" w:rsidRDefault="00F714F9" w:rsidP="0021153F">
            <w:pPr>
              <w:pStyle w:val="NormalWeb"/>
              <w:spacing w:before="0" w:beforeAutospacing="0"/>
              <w:jc w:val="both"/>
              <w:rPr>
                <w:color w:val="000000"/>
                <w:sz w:val="18"/>
                <w:szCs w:val="18"/>
                <w:lang w:eastAsia="es-PE"/>
              </w:rPr>
            </w:pPr>
            <w:r w:rsidRPr="0021153F">
              <w:rPr>
                <w:color w:val="000000"/>
                <w:sz w:val="18"/>
                <w:szCs w:val="18"/>
                <w:lang w:eastAsia="es-PE"/>
              </w:rPr>
              <w:t>-MEF (2020).</w:t>
            </w:r>
            <w:r w:rsidR="00285EDD" w:rsidRPr="0021153F">
              <w:rPr>
                <w:color w:val="000000"/>
                <w:sz w:val="18"/>
                <w:szCs w:val="18"/>
                <w:lang w:eastAsia="es-PE"/>
              </w:rPr>
              <w:t xml:space="preserve"> Oficio </w:t>
            </w:r>
            <w:proofErr w:type="spellStart"/>
            <w:r w:rsidR="00285EDD" w:rsidRPr="0021153F">
              <w:rPr>
                <w:color w:val="000000"/>
                <w:sz w:val="18"/>
                <w:szCs w:val="18"/>
                <w:lang w:eastAsia="es-PE"/>
              </w:rPr>
              <w:t>Nº</w:t>
            </w:r>
            <w:proofErr w:type="spellEnd"/>
            <w:r w:rsidR="00285EDD" w:rsidRPr="0021153F">
              <w:rPr>
                <w:color w:val="000000"/>
                <w:sz w:val="18"/>
                <w:szCs w:val="18"/>
                <w:lang w:eastAsia="es-PE"/>
              </w:rPr>
              <w:t xml:space="preserve"> 059-2020-EF/43.03</w:t>
            </w:r>
          </w:p>
          <w:p w14:paraId="2A42C677" w14:textId="125B9F6A" w:rsidR="00F714F9" w:rsidRPr="00285EDD" w:rsidRDefault="00F714F9" w:rsidP="0021153F">
            <w:pPr>
              <w:pStyle w:val="NormalWeb"/>
              <w:spacing w:before="0" w:beforeAutospacing="0"/>
              <w:jc w:val="both"/>
              <w:rPr>
                <w:b/>
                <w:color w:val="000000" w:themeColor="text1"/>
                <w:sz w:val="18"/>
                <w:szCs w:val="18"/>
              </w:rPr>
            </w:pPr>
            <w:r w:rsidRPr="0021153F">
              <w:rPr>
                <w:color w:val="000000"/>
                <w:sz w:val="18"/>
                <w:szCs w:val="18"/>
                <w:lang w:eastAsia="es-PE"/>
              </w:rPr>
              <w:t>-MEF (2020).</w:t>
            </w:r>
            <w:r w:rsidR="00285EDD" w:rsidRPr="0021153F">
              <w:rPr>
                <w:color w:val="000000"/>
                <w:sz w:val="18"/>
                <w:szCs w:val="18"/>
                <w:lang w:eastAsia="es-PE"/>
              </w:rPr>
              <w:t xml:space="preserve"> Oficio </w:t>
            </w:r>
            <w:proofErr w:type="spellStart"/>
            <w:r w:rsidR="00285EDD" w:rsidRPr="0021153F">
              <w:rPr>
                <w:color w:val="000000"/>
                <w:sz w:val="18"/>
                <w:szCs w:val="18"/>
                <w:lang w:eastAsia="es-PE"/>
              </w:rPr>
              <w:t>Nº</w:t>
            </w:r>
            <w:proofErr w:type="spellEnd"/>
            <w:r w:rsidR="00285EDD" w:rsidRPr="0021153F">
              <w:rPr>
                <w:color w:val="000000"/>
                <w:sz w:val="18"/>
                <w:szCs w:val="18"/>
                <w:lang w:eastAsia="es-PE"/>
              </w:rPr>
              <w:t xml:space="preserve"> 081-2020-EF/43.03</w:t>
            </w:r>
          </w:p>
        </w:tc>
      </w:tr>
    </w:tbl>
    <w:p w14:paraId="377A10D5" w14:textId="77777777" w:rsidR="00C44FCD" w:rsidRPr="00285EDD" w:rsidRDefault="00C44FCD" w:rsidP="00776160">
      <w:pPr>
        <w:jc w:val="both"/>
        <w:rPr>
          <w:rFonts w:ascii="Times New Roman" w:eastAsia="Times New Roman" w:hAnsi="Times New Roman" w:cs="Times New Roman"/>
          <w:b/>
          <w:color w:val="000000"/>
          <w:sz w:val="18"/>
          <w:szCs w:val="18"/>
        </w:rPr>
      </w:pPr>
    </w:p>
    <w:p w14:paraId="60E49511" w14:textId="77777777" w:rsidR="00C44FCD" w:rsidRPr="00285EDD" w:rsidRDefault="00C44FCD" w:rsidP="00776160">
      <w:pPr>
        <w:jc w:val="both"/>
        <w:rPr>
          <w:rFonts w:ascii="Times New Roman" w:eastAsia="Times New Roman" w:hAnsi="Times New Roman" w:cs="Times New Roman"/>
          <w:b/>
          <w:color w:val="000000"/>
          <w:sz w:val="18"/>
          <w:szCs w:val="18"/>
        </w:rPr>
      </w:pPr>
    </w:p>
    <w:tbl>
      <w:tblPr>
        <w:tblStyle w:val="4"/>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4"/>
      </w:tblGrid>
      <w:tr w:rsidR="00C44FCD" w14:paraId="65C74549" w14:textId="77777777">
        <w:tc>
          <w:tcPr>
            <w:tcW w:w="8784" w:type="dxa"/>
          </w:tcPr>
          <w:p w14:paraId="3C379746" w14:textId="77777777" w:rsidR="00C44FCD" w:rsidRPr="00710DAF" w:rsidRDefault="00FF36BC" w:rsidP="00776160">
            <w:pPr>
              <w:ind w:right="176"/>
              <w:jc w:val="both"/>
              <w:rPr>
                <w:rFonts w:ascii="Times New Roman" w:eastAsia="Times New Roman" w:hAnsi="Times New Roman" w:cs="Times New Roman"/>
                <w:b/>
                <w:color w:val="000000"/>
                <w:sz w:val="18"/>
                <w:szCs w:val="18"/>
              </w:rPr>
            </w:pPr>
            <w:r w:rsidRPr="00710DAF">
              <w:rPr>
                <w:rFonts w:ascii="Times New Roman" w:eastAsia="Times New Roman" w:hAnsi="Times New Roman" w:cs="Times New Roman"/>
                <w:b/>
                <w:color w:val="000000"/>
                <w:sz w:val="18"/>
                <w:szCs w:val="18"/>
              </w:rPr>
              <w:t>SES</w:t>
            </w:r>
            <w:r w:rsidRPr="00710DAF">
              <w:rPr>
                <w:rFonts w:ascii="Times New Roman" w:eastAsia="Times New Roman" w:hAnsi="Times New Roman" w:cs="Times New Roman"/>
                <w:b/>
                <w:sz w:val="18"/>
                <w:szCs w:val="18"/>
              </w:rPr>
              <w:t>I</w:t>
            </w:r>
            <w:r w:rsidRPr="00710DAF">
              <w:rPr>
                <w:rFonts w:ascii="Times New Roman" w:eastAsia="Times New Roman" w:hAnsi="Times New Roman" w:cs="Times New Roman"/>
                <w:b/>
                <w:color w:val="000000"/>
                <w:sz w:val="18"/>
                <w:szCs w:val="18"/>
              </w:rPr>
              <w:t xml:space="preserve">ÓN 5: EJECUCIÓN CONTRACTUAL EN EL MARCO DE LA LEY </w:t>
            </w:r>
            <w:proofErr w:type="spellStart"/>
            <w:r w:rsidRPr="00710DAF">
              <w:rPr>
                <w:rFonts w:ascii="Times New Roman" w:eastAsia="Times New Roman" w:hAnsi="Times New Roman" w:cs="Times New Roman"/>
                <w:b/>
                <w:color w:val="000000"/>
                <w:sz w:val="18"/>
                <w:szCs w:val="18"/>
              </w:rPr>
              <w:t>Nº</w:t>
            </w:r>
            <w:proofErr w:type="spellEnd"/>
            <w:r w:rsidRPr="00710DAF">
              <w:rPr>
                <w:rFonts w:ascii="Times New Roman" w:eastAsia="Times New Roman" w:hAnsi="Times New Roman" w:cs="Times New Roman"/>
                <w:b/>
                <w:color w:val="000000"/>
                <w:sz w:val="18"/>
                <w:szCs w:val="18"/>
              </w:rPr>
              <w:t xml:space="preserve"> 30225 – TERCERA PARTE: EJECUCIÓN CONTRACTUAL EN RELACIÓN CON LOS PROTOCOLOS COVID 19, NULIDAD Y RESOLUCIÓN DE CONTRATO.</w:t>
            </w:r>
          </w:p>
          <w:p w14:paraId="3BB33A10" w14:textId="77777777" w:rsidR="00C44FCD" w:rsidRPr="00710DAF" w:rsidRDefault="00C44FCD" w:rsidP="00776160">
            <w:pPr>
              <w:jc w:val="both"/>
              <w:rPr>
                <w:rFonts w:ascii="Times New Roman" w:eastAsia="Times New Roman" w:hAnsi="Times New Roman" w:cs="Times New Roman"/>
                <w:b/>
                <w:color w:val="000000"/>
                <w:sz w:val="18"/>
                <w:szCs w:val="18"/>
              </w:rPr>
            </w:pPr>
          </w:p>
        </w:tc>
      </w:tr>
      <w:tr w:rsidR="00C44FCD" w14:paraId="0B519A69" w14:textId="77777777">
        <w:tc>
          <w:tcPr>
            <w:tcW w:w="8784" w:type="dxa"/>
          </w:tcPr>
          <w:p w14:paraId="28B9FAAE" w14:textId="77777777" w:rsidR="00C44FCD" w:rsidRPr="00710DAF" w:rsidRDefault="00FF36BC" w:rsidP="00776160">
            <w:pPr>
              <w:jc w:val="both"/>
              <w:rPr>
                <w:rFonts w:ascii="Times New Roman" w:eastAsia="Times New Roman" w:hAnsi="Times New Roman" w:cs="Times New Roman"/>
                <w:b/>
                <w:color w:val="000000"/>
                <w:sz w:val="18"/>
                <w:szCs w:val="18"/>
              </w:rPr>
            </w:pPr>
            <w:r w:rsidRPr="00710DAF">
              <w:rPr>
                <w:rFonts w:ascii="Times New Roman" w:eastAsia="Times New Roman" w:hAnsi="Times New Roman" w:cs="Times New Roman"/>
                <w:b/>
                <w:color w:val="000000"/>
                <w:sz w:val="18"/>
                <w:szCs w:val="18"/>
              </w:rPr>
              <w:t>EXPOSITOR: José Zegarra Pinto</w:t>
            </w:r>
          </w:p>
          <w:p w14:paraId="01D2B40A" w14:textId="77777777" w:rsidR="00C44FCD" w:rsidRPr="00710DAF" w:rsidRDefault="00C44FCD" w:rsidP="00776160">
            <w:pPr>
              <w:jc w:val="both"/>
              <w:rPr>
                <w:rFonts w:ascii="Times New Roman" w:eastAsia="Times New Roman" w:hAnsi="Times New Roman" w:cs="Times New Roman"/>
                <w:b/>
                <w:color w:val="000000"/>
                <w:sz w:val="18"/>
                <w:szCs w:val="18"/>
              </w:rPr>
            </w:pPr>
          </w:p>
        </w:tc>
      </w:tr>
      <w:tr w:rsidR="00C44FCD" w14:paraId="4E9A738E" w14:textId="77777777">
        <w:tc>
          <w:tcPr>
            <w:tcW w:w="8784" w:type="dxa"/>
          </w:tcPr>
          <w:p w14:paraId="549D5928" w14:textId="77777777" w:rsidR="00C44FCD" w:rsidRDefault="00FF36BC"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LOGRO</w:t>
            </w:r>
          </w:p>
          <w:p w14:paraId="3372280B" w14:textId="77777777" w:rsidR="00C44FCD" w:rsidRDefault="00FF36BC"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Logro Competencia: Investigación Jurídica.</w:t>
            </w:r>
          </w:p>
          <w:p w14:paraId="3D76F45B" w14:textId="77777777" w:rsidR="00C44FCD" w:rsidRDefault="00FF36BC" w:rsidP="00776160">
            <w:pPr>
              <w:ind w:right="176"/>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 finalizar el curso, el estudiante</w:t>
            </w:r>
            <w:r>
              <w:rPr>
                <w:rFonts w:ascii="Times New Roman" w:eastAsia="Times New Roman" w:hAnsi="Times New Roman" w:cs="Times New Roman"/>
                <w:sz w:val="18"/>
                <w:szCs w:val="18"/>
              </w:rPr>
              <w:t xml:space="preserve"> comprende el procedimiento de ejecución contractual en relación con los protocolos establecidos por el Estado peruano a raíz del virus COVID 19. De igual manera, el asistente diferencia en qué casos se debe aplicar la nulidad y la resolución de los contratos estatales al igual que su correcto procedimiento.</w:t>
            </w:r>
          </w:p>
          <w:p w14:paraId="1789100B" w14:textId="77777777" w:rsidR="00C44FCD" w:rsidRDefault="00C44FCD" w:rsidP="00776160">
            <w:pPr>
              <w:jc w:val="both"/>
              <w:rPr>
                <w:rFonts w:ascii="Times New Roman" w:eastAsia="Times New Roman" w:hAnsi="Times New Roman" w:cs="Times New Roman"/>
                <w:b/>
                <w:color w:val="000000"/>
                <w:sz w:val="18"/>
                <w:szCs w:val="18"/>
              </w:rPr>
            </w:pPr>
          </w:p>
          <w:p w14:paraId="00392654" w14:textId="77777777" w:rsidR="00C44FCD" w:rsidRDefault="00FF36BC"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TEMARIO</w:t>
            </w:r>
          </w:p>
          <w:p w14:paraId="2B801E10" w14:textId="64C539CD" w:rsidR="00C44FCD" w:rsidRDefault="00FF36BC"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5.1. Ejecución contractual en relación con los protocolos COVID 19.</w:t>
            </w:r>
          </w:p>
          <w:p w14:paraId="7D475B8A" w14:textId="45AC5FB2"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5.1.1. Alcances y Disposiciones para la Reactivación de Obras Públicas – Segunda Disposición Complementaria Transitoria del Decreto Legislativo </w:t>
            </w:r>
            <w:proofErr w:type="spellStart"/>
            <w:r>
              <w:rPr>
                <w:rFonts w:ascii="Times New Roman" w:eastAsia="Times New Roman" w:hAnsi="Times New Roman" w:cs="Times New Roman"/>
                <w:color w:val="000000"/>
                <w:sz w:val="18"/>
                <w:szCs w:val="18"/>
              </w:rPr>
              <w:t>Nº</w:t>
            </w:r>
            <w:proofErr w:type="spellEnd"/>
            <w:r>
              <w:rPr>
                <w:rFonts w:ascii="Times New Roman" w:eastAsia="Times New Roman" w:hAnsi="Times New Roman" w:cs="Times New Roman"/>
                <w:color w:val="000000"/>
                <w:sz w:val="18"/>
                <w:szCs w:val="18"/>
              </w:rPr>
              <w:t xml:space="preserve"> 1486</w:t>
            </w:r>
          </w:p>
          <w:p w14:paraId="00DFFD98" w14:textId="0DAC8C5D"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5.1.2. Directiva </w:t>
            </w:r>
            <w:proofErr w:type="spellStart"/>
            <w:r>
              <w:rPr>
                <w:rFonts w:ascii="Times New Roman" w:eastAsia="Times New Roman" w:hAnsi="Times New Roman" w:cs="Times New Roman"/>
                <w:color w:val="000000"/>
                <w:sz w:val="18"/>
                <w:szCs w:val="18"/>
              </w:rPr>
              <w:t>Nº</w:t>
            </w:r>
            <w:proofErr w:type="spellEnd"/>
            <w:r>
              <w:rPr>
                <w:rFonts w:ascii="Times New Roman" w:eastAsia="Times New Roman" w:hAnsi="Times New Roman" w:cs="Times New Roman"/>
                <w:color w:val="000000"/>
                <w:sz w:val="18"/>
                <w:szCs w:val="18"/>
              </w:rPr>
              <w:t xml:space="preserve"> 005-2020-OSCE/CD</w:t>
            </w:r>
          </w:p>
          <w:p w14:paraId="2F918435" w14:textId="60084B17"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5.1.3. Disposiciones Generales</w:t>
            </w:r>
          </w:p>
          <w:p w14:paraId="39359F33" w14:textId="1B511A66"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5.1.4. Disposiciones Especificas</w:t>
            </w:r>
          </w:p>
          <w:p w14:paraId="116E822A" w14:textId="77777777" w:rsidR="00E948F7" w:rsidRDefault="00E948F7" w:rsidP="00776160">
            <w:pPr>
              <w:jc w:val="both"/>
              <w:rPr>
                <w:rFonts w:ascii="Times New Roman" w:eastAsia="Times New Roman" w:hAnsi="Times New Roman" w:cs="Times New Roman"/>
                <w:color w:val="000000"/>
                <w:sz w:val="18"/>
                <w:szCs w:val="18"/>
              </w:rPr>
            </w:pPr>
          </w:p>
          <w:p w14:paraId="4FE778D5" w14:textId="29692C61" w:rsidR="00C44FCD" w:rsidRDefault="00FF36BC"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 Nulidad y Resolución de Contrato.</w:t>
            </w:r>
          </w:p>
          <w:p w14:paraId="42D8466E" w14:textId="46C974E4"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5.2.1. Declaratoria de Nulidad en la LCE</w:t>
            </w:r>
          </w:p>
          <w:p w14:paraId="39962F56" w14:textId="54368CF5"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5.2.2. Nulidad de Oficio</w:t>
            </w:r>
          </w:p>
          <w:p w14:paraId="4BCA7B27" w14:textId="087708FD"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5.2.3. Nulidad del Contrato en el RLCE</w:t>
            </w:r>
          </w:p>
          <w:p w14:paraId="59A0877C" w14:textId="32A636E2"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5.2.4. Resolución de los Contratos en la LCE</w:t>
            </w:r>
          </w:p>
          <w:p w14:paraId="2D944C5A" w14:textId="613F6ABA"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5.2.5. Causales de Resolución.</w:t>
            </w:r>
          </w:p>
          <w:p w14:paraId="2EC959D9" w14:textId="492A2334"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5.2.6. Procedimiento de Resolución de Contrato</w:t>
            </w:r>
          </w:p>
          <w:p w14:paraId="709553A2" w14:textId="5F5C2AEB"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5.2.7. Efectos de la Resolución.</w:t>
            </w:r>
          </w:p>
          <w:p w14:paraId="7D8D3FBE" w14:textId="77777777" w:rsidR="009F579E" w:rsidRPr="009F579E" w:rsidRDefault="009F579E" w:rsidP="00776160">
            <w:pPr>
              <w:jc w:val="both"/>
              <w:rPr>
                <w:rFonts w:ascii="Times New Roman" w:eastAsia="Times New Roman" w:hAnsi="Times New Roman" w:cs="Times New Roman"/>
                <w:color w:val="000000"/>
                <w:sz w:val="18"/>
                <w:szCs w:val="18"/>
              </w:rPr>
            </w:pPr>
          </w:p>
          <w:p w14:paraId="7E136B4D" w14:textId="77777777" w:rsidR="00C44FCD" w:rsidRDefault="00FF36BC"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HORA(S) / SEMANA(S)</w:t>
            </w:r>
          </w:p>
          <w:p w14:paraId="4A0866B4" w14:textId="77777777" w:rsidR="00C44FCD" w:rsidRDefault="00FF36BC"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 Horas / 4 Semanas</w:t>
            </w:r>
          </w:p>
          <w:p w14:paraId="3F58D970" w14:textId="77777777" w:rsidR="00C44FCD" w:rsidRDefault="00C44FCD" w:rsidP="00776160">
            <w:pPr>
              <w:jc w:val="both"/>
              <w:rPr>
                <w:rFonts w:ascii="Times New Roman" w:eastAsia="Times New Roman" w:hAnsi="Times New Roman" w:cs="Times New Roman"/>
                <w:b/>
                <w:color w:val="000000"/>
                <w:sz w:val="18"/>
                <w:szCs w:val="18"/>
              </w:rPr>
            </w:pPr>
          </w:p>
        </w:tc>
      </w:tr>
      <w:tr w:rsidR="00C44FCD" w:rsidRPr="00285EDD" w14:paraId="345AD49A" w14:textId="77777777">
        <w:tc>
          <w:tcPr>
            <w:tcW w:w="8784" w:type="dxa"/>
          </w:tcPr>
          <w:p w14:paraId="3B2C60C3" w14:textId="77777777" w:rsidR="00285EDD" w:rsidRDefault="00FF36BC" w:rsidP="00776160">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LECTURAS DE LA SESIÓN:</w:t>
            </w:r>
          </w:p>
          <w:p w14:paraId="0BDD9C52" w14:textId="4C00D120" w:rsidR="00C44FCD" w:rsidRPr="0021153F" w:rsidRDefault="00285EDD" w:rsidP="0021153F">
            <w:pPr>
              <w:pStyle w:val="NormalWeb"/>
              <w:spacing w:before="0" w:beforeAutospacing="0"/>
              <w:jc w:val="both"/>
              <w:rPr>
                <w:color w:val="000000"/>
                <w:sz w:val="18"/>
                <w:szCs w:val="18"/>
                <w:lang w:eastAsia="es-PE"/>
              </w:rPr>
            </w:pPr>
            <w:r>
              <w:rPr>
                <w:b/>
                <w:sz w:val="18"/>
                <w:szCs w:val="18"/>
              </w:rPr>
              <w:t>-</w:t>
            </w:r>
            <w:r w:rsidRPr="0021153F">
              <w:rPr>
                <w:color w:val="000000"/>
                <w:sz w:val="18"/>
                <w:szCs w:val="18"/>
                <w:lang w:eastAsia="es-PE"/>
              </w:rPr>
              <w:t>Ricardo Rodríguez (</w:t>
            </w:r>
            <w:r w:rsidR="00005C4D" w:rsidRPr="0021153F">
              <w:rPr>
                <w:color w:val="000000"/>
                <w:sz w:val="18"/>
                <w:szCs w:val="18"/>
                <w:lang w:eastAsia="es-PE"/>
              </w:rPr>
              <w:t>2011). Resolución</w:t>
            </w:r>
            <w:r w:rsidRPr="0021153F">
              <w:rPr>
                <w:color w:val="000000"/>
                <w:sz w:val="18"/>
                <w:szCs w:val="18"/>
                <w:lang w:eastAsia="es-PE"/>
              </w:rPr>
              <w:t xml:space="preserve"> de Contrato por Incumplimiento de Obligación Esencial no Pactada en los Contratos Sujetos a la Ley de Contrataciones del Estado. Revista de Arbitraje PUCP. </w:t>
            </w:r>
            <w:proofErr w:type="spellStart"/>
            <w:r w:rsidRPr="0021153F">
              <w:rPr>
                <w:color w:val="000000"/>
                <w:sz w:val="18"/>
                <w:szCs w:val="18"/>
                <w:lang w:eastAsia="es-PE"/>
              </w:rPr>
              <w:t>Pág</w:t>
            </w:r>
            <w:proofErr w:type="spellEnd"/>
            <w:r w:rsidRPr="0021153F">
              <w:rPr>
                <w:color w:val="000000"/>
                <w:sz w:val="18"/>
                <w:szCs w:val="18"/>
                <w:lang w:eastAsia="es-PE"/>
              </w:rPr>
              <w:t xml:space="preserve"> 40-48.</w:t>
            </w:r>
          </w:p>
          <w:p w14:paraId="4FC2B76D" w14:textId="72B3D64A" w:rsidR="00C44FCD" w:rsidRPr="0021153F" w:rsidRDefault="00285EDD" w:rsidP="0021153F">
            <w:pPr>
              <w:pStyle w:val="NormalWeb"/>
              <w:spacing w:before="0" w:beforeAutospacing="0"/>
              <w:jc w:val="both"/>
              <w:rPr>
                <w:color w:val="000000"/>
                <w:sz w:val="18"/>
                <w:szCs w:val="18"/>
                <w:lang w:eastAsia="es-PE"/>
              </w:rPr>
            </w:pPr>
            <w:r w:rsidRPr="0021153F">
              <w:rPr>
                <w:color w:val="000000"/>
                <w:sz w:val="18"/>
                <w:szCs w:val="18"/>
                <w:lang w:eastAsia="es-PE"/>
              </w:rPr>
              <w:t xml:space="preserve">- Juan Carlos Morón (2020). Y, la contratación del Estado, ¿para </w:t>
            </w:r>
            <w:proofErr w:type="spellStart"/>
            <w:proofErr w:type="gramStart"/>
            <w:r w:rsidRPr="0021153F">
              <w:rPr>
                <w:color w:val="000000"/>
                <w:sz w:val="18"/>
                <w:szCs w:val="18"/>
                <w:lang w:eastAsia="es-PE"/>
              </w:rPr>
              <w:t>cuándo?.</w:t>
            </w:r>
            <w:proofErr w:type="gramEnd"/>
            <w:r w:rsidRPr="0021153F">
              <w:rPr>
                <w:color w:val="000000"/>
                <w:sz w:val="18"/>
                <w:szCs w:val="18"/>
                <w:lang w:eastAsia="es-PE"/>
              </w:rPr>
              <w:t>Diario</w:t>
            </w:r>
            <w:proofErr w:type="spellEnd"/>
            <w:r w:rsidRPr="0021153F">
              <w:rPr>
                <w:color w:val="000000"/>
                <w:sz w:val="18"/>
                <w:szCs w:val="18"/>
                <w:lang w:eastAsia="es-PE"/>
              </w:rPr>
              <w:t xml:space="preserve"> Gestión. Pág. 1-2.</w:t>
            </w:r>
          </w:p>
          <w:p w14:paraId="7830BA8F" w14:textId="6DE753CF" w:rsidR="00285EDD" w:rsidRPr="0021153F" w:rsidRDefault="00285EDD" w:rsidP="0021153F">
            <w:pPr>
              <w:pStyle w:val="NormalWeb"/>
              <w:spacing w:before="0" w:beforeAutospacing="0"/>
              <w:jc w:val="both"/>
              <w:rPr>
                <w:color w:val="000000"/>
                <w:sz w:val="18"/>
                <w:szCs w:val="18"/>
                <w:lang w:eastAsia="es-PE"/>
              </w:rPr>
            </w:pPr>
            <w:r w:rsidRPr="0021153F">
              <w:rPr>
                <w:color w:val="000000"/>
                <w:sz w:val="18"/>
                <w:szCs w:val="18"/>
                <w:lang w:eastAsia="es-PE"/>
              </w:rPr>
              <w:t xml:space="preserve">- José Zegarra Pinto &amp; </w:t>
            </w:r>
            <w:proofErr w:type="spellStart"/>
            <w:r w:rsidRPr="0021153F">
              <w:rPr>
                <w:color w:val="000000"/>
                <w:sz w:val="18"/>
                <w:szCs w:val="18"/>
                <w:lang w:eastAsia="es-PE"/>
              </w:rPr>
              <w:t>Luwing</w:t>
            </w:r>
            <w:proofErr w:type="spellEnd"/>
            <w:r w:rsidRPr="0021153F">
              <w:rPr>
                <w:color w:val="000000"/>
                <w:sz w:val="18"/>
                <w:szCs w:val="18"/>
                <w:lang w:eastAsia="es-PE"/>
              </w:rPr>
              <w:t xml:space="preserve"> Peche Loayza (2017). Contractual Stability and its relationship with the political process of law- making: An analysis od Peru</w:t>
            </w:r>
            <w:r w:rsidR="00005C4D" w:rsidRPr="0021153F">
              <w:rPr>
                <w:color w:val="000000"/>
                <w:sz w:val="18"/>
                <w:szCs w:val="18"/>
                <w:lang w:eastAsia="es-PE"/>
              </w:rPr>
              <w:t>´s public procurement and Agreement on Government Procurement with the World Trade Organization. Revista de la Pontificia Universidad Católica del Perú. Pág. 1-27.</w:t>
            </w:r>
          </w:p>
          <w:p w14:paraId="5E870F41" w14:textId="130BDDC7" w:rsidR="009F579E" w:rsidRPr="0021153F" w:rsidRDefault="009F579E" w:rsidP="0021153F">
            <w:pPr>
              <w:pStyle w:val="NormalWeb"/>
              <w:spacing w:before="0" w:beforeAutospacing="0"/>
              <w:jc w:val="both"/>
              <w:rPr>
                <w:color w:val="000000"/>
                <w:sz w:val="18"/>
                <w:szCs w:val="18"/>
                <w:lang w:eastAsia="es-PE"/>
              </w:rPr>
            </w:pPr>
            <w:r w:rsidRPr="0021153F">
              <w:rPr>
                <w:color w:val="000000"/>
                <w:sz w:val="18"/>
                <w:szCs w:val="18"/>
                <w:lang w:eastAsia="es-PE"/>
              </w:rPr>
              <w:t xml:space="preserve">- OSCE (2020) Comunicado </w:t>
            </w:r>
            <w:proofErr w:type="spellStart"/>
            <w:r w:rsidRPr="0021153F">
              <w:rPr>
                <w:color w:val="000000"/>
                <w:sz w:val="18"/>
                <w:szCs w:val="18"/>
                <w:lang w:eastAsia="es-PE"/>
              </w:rPr>
              <w:t>Nº</w:t>
            </w:r>
            <w:proofErr w:type="spellEnd"/>
            <w:r w:rsidRPr="0021153F">
              <w:rPr>
                <w:color w:val="000000"/>
                <w:sz w:val="18"/>
                <w:szCs w:val="18"/>
                <w:lang w:eastAsia="es-PE"/>
              </w:rPr>
              <w:t xml:space="preserve"> 005-</w:t>
            </w:r>
            <w:proofErr w:type="gramStart"/>
            <w:r w:rsidRPr="0021153F">
              <w:rPr>
                <w:color w:val="000000"/>
                <w:sz w:val="18"/>
                <w:szCs w:val="18"/>
                <w:lang w:eastAsia="es-PE"/>
              </w:rPr>
              <w:t>2020:Sobre</w:t>
            </w:r>
            <w:proofErr w:type="gramEnd"/>
            <w:r w:rsidRPr="0021153F">
              <w:rPr>
                <w:color w:val="000000"/>
                <w:sz w:val="18"/>
                <w:szCs w:val="18"/>
                <w:lang w:eastAsia="es-PE"/>
              </w:rPr>
              <w:t xml:space="preserve"> la ejecución de contratos, en el marco de las normas que establecen medidas excepcionales para contener la propagación del COVID – 19. Recuperado: </w:t>
            </w:r>
            <w:hyperlink r:id="rId20" w:history="1">
              <w:r w:rsidRPr="0021153F">
                <w:rPr>
                  <w:color w:val="000000"/>
                  <w:lang w:eastAsia="es-PE"/>
                </w:rPr>
                <w:t>https://www.caeperu.com/aula-virtual/docente-5/lecturas/comunicado-n-005-2020-sobre-la-ejecucion-de-contratos.pdf</w:t>
              </w:r>
            </w:hyperlink>
            <w:r w:rsidRPr="0021153F">
              <w:rPr>
                <w:color w:val="000000"/>
                <w:sz w:val="18"/>
                <w:szCs w:val="18"/>
                <w:lang w:eastAsia="es-PE"/>
              </w:rPr>
              <w:t xml:space="preserve"> </w:t>
            </w:r>
          </w:p>
          <w:p w14:paraId="4947E5EC" w14:textId="6120D090" w:rsidR="009F579E" w:rsidRPr="0021153F" w:rsidRDefault="009F579E" w:rsidP="0021153F">
            <w:pPr>
              <w:pStyle w:val="NormalWeb"/>
              <w:spacing w:before="0" w:beforeAutospacing="0"/>
              <w:jc w:val="both"/>
              <w:rPr>
                <w:color w:val="000000"/>
                <w:sz w:val="18"/>
                <w:szCs w:val="18"/>
                <w:lang w:eastAsia="es-PE"/>
              </w:rPr>
            </w:pPr>
            <w:r w:rsidRPr="0021153F">
              <w:rPr>
                <w:color w:val="000000"/>
                <w:sz w:val="18"/>
                <w:szCs w:val="18"/>
                <w:lang w:eastAsia="es-PE"/>
              </w:rPr>
              <w:t xml:space="preserve">- OSCE (2018). Opinión </w:t>
            </w:r>
            <w:proofErr w:type="spellStart"/>
            <w:r w:rsidRPr="0021153F">
              <w:rPr>
                <w:color w:val="000000"/>
                <w:sz w:val="18"/>
                <w:szCs w:val="18"/>
                <w:lang w:eastAsia="es-PE"/>
              </w:rPr>
              <w:t>Nº</w:t>
            </w:r>
            <w:proofErr w:type="spellEnd"/>
            <w:r w:rsidRPr="0021153F">
              <w:rPr>
                <w:color w:val="000000"/>
                <w:sz w:val="18"/>
                <w:szCs w:val="18"/>
                <w:lang w:eastAsia="es-PE"/>
              </w:rPr>
              <w:t xml:space="preserve"> 048-2018/</w:t>
            </w:r>
            <w:proofErr w:type="gramStart"/>
            <w:r w:rsidRPr="0021153F">
              <w:rPr>
                <w:color w:val="000000"/>
                <w:sz w:val="18"/>
                <w:szCs w:val="18"/>
                <w:lang w:eastAsia="es-PE"/>
              </w:rPr>
              <w:t>DTN .</w:t>
            </w:r>
            <w:proofErr w:type="gramEnd"/>
            <w:r w:rsidRPr="0021153F">
              <w:rPr>
                <w:color w:val="000000"/>
                <w:sz w:val="18"/>
                <w:szCs w:val="18"/>
                <w:lang w:eastAsia="es-PE"/>
              </w:rPr>
              <w:t xml:space="preserve"> Recuperado de: </w:t>
            </w:r>
            <w:hyperlink r:id="rId21" w:history="1">
              <w:r w:rsidRPr="0021153F">
                <w:rPr>
                  <w:color w:val="000000"/>
                  <w:lang w:eastAsia="es-PE"/>
                </w:rPr>
                <w:t>https://www.caeperu.com/aula-virtual/docente-5/lecturas/servicio-de-parques-de-lima-SERPAR.pdf</w:t>
              </w:r>
            </w:hyperlink>
          </w:p>
          <w:p w14:paraId="035C9B8A" w14:textId="3726574F" w:rsidR="009F579E" w:rsidRPr="0021153F" w:rsidRDefault="009F579E" w:rsidP="0021153F">
            <w:pPr>
              <w:pStyle w:val="NormalWeb"/>
              <w:spacing w:before="0" w:beforeAutospacing="0"/>
              <w:jc w:val="both"/>
              <w:rPr>
                <w:color w:val="000000"/>
                <w:sz w:val="18"/>
                <w:szCs w:val="18"/>
                <w:lang w:eastAsia="es-PE"/>
              </w:rPr>
            </w:pPr>
            <w:r w:rsidRPr="0021153F">
              <w:rPr>
                <w:color w:val="000000"/>
                <w:sz w:val="18"/>
                <w:szCs w:val="18"/>
                <w:lang w:eastAsia="es-PE"/>
              </w:rPr>
              <w:t xml:space="preserve">- OSCE (2019). Opinión </w:t>
            </w:r>
            <w:proofErr w:type="spellStart"/>
            <w:r w:rsidRPr="0021153F">
              <w:rPr>
                <w:color w:val="000000"/>
                <w:sz w:val="18"/>
                <w:szCs w:val="18"/>
                <w:lang w:eastAsia="es-PE"/>
              </w:rPr>
              <w:t>Nº</w:t>
            </w:r>
            <w:proofErr w:type="spellEnd"/>
            <w:r w:rsidRPr="0021153F">
              <w:rPr>
                <w:color w:val="000000"/>
                <w:sz w:val="18"/>
                <w:szCs w:val="18"/>
                <w:lang w:eastAsia="es-PE"/>
              </w:rPr>
              <w:t xml:space="preserve"> 040-2019/DTN. Recuperado de : </w:t>
            </w:r>
            <w:hyperlink r:id="rId22" w:history="1">
              <w:r w:rsidRPr="0021153F">
                <w:rPr>
                  <w:color w:val="000000"/>
                  <w:lang w:eastAsia="es-PE"/>
                </w:rPr>
                <w:t>https://www.caeperu.com/aula-virtual/docente-5/lecturas/PRONIED-plazo-de-vigencia-contractual.pdf</w:t>
              </w:r>
            </w:hyperlink>
          </w:p>
          <w:p w14:paraId="0364EAC0" w14:textId="2799EADA" w:rsidR="00005C4D" w:rsidRPr="0021153F" w:rsidRDefault="00005C4D" w:rsidP="0021153F">
            <w:pPr>
              <w:pStyle w:val="NormalWeb"/>
              <w:spacing w:before="0" w:beforeAutospacing="0"/>
              <w:jc w:val="both"/>
              <w:rPr>
                <w:color w:val="000000"/>
                <w:sz w:val="18"/>
                <w:szCs w:val="18"/>
                <w:lang w:eastAsia="es-PE"/>
              </w:rPr>
            </w:pPr>
          </w:p>
          <w:p w14:paraId="7C03AEEE" w14:textId="77777777" w:rsidR="00C44FCD" w:rsidRPr="009F579E" w:rsidRDefault="00C44FCD" w:rsidP="00776160">
            <w:pPr>
              <w:jc w:val="both"/>
              <w:rPr>
                <w:rFonts w:ascii="Times New Roman" w:eastAsia="Times New Roman" w:hAnsi="Times New Roman" w:cs="Times New Roman"/>
                <w:b/>
                <w:color w:val="000000"/>
                <w:sz w:val="18"/>
                <w:szCs w:val="18"/>
              </w:rPr>
            </w:pPr>
          </w:p>
        </w:tc>
      </w:tr>
    </w:tbl>
    <w:p w14:paraId="1B9AE067" w14:textId="77777777" w:rsidR="00C44FCD" w:rsidRPr="009F579E" w:rsidRDefault="00C44FCD" w:rsidP="00776160">
      <w:pPr>
        <w:jc w:val="both"/>
        <w:rPr>
          <w:rFonts w:ascii="Times New Roman" w:eastAsia="Times New Roman" w:hAnsi="Times New Roman" w:cs="Times New Roman"/>
          <w:b/>
          <w:color w:val="000000"/>
          <w:sz w:val="18"/>
          <w:szCs w:val="18"/>
        </w:rPr>
      </w:pPr>
    </w:p>
    <w:p w14:paraId="6C583D3D" w14:textId="77777777" w:rsidR="00C44FCD" w:rsidRPr="009F579E" w:rsidRDefault="00C44FCD" w:rsidP="00776160">
      <w:pPr>
        <w:jc w:val="both"/>
        <w:rPr>
          <w:rFonts w:ascii="Times New Roman" w:eastAsia="Times New Roman" w:hAnsi="Times New Roman" w:cs="Times New Roman"/>
          <w:b/>
          <w:color w:val="000000"/>
          <w:sz w:val="18"/>
          <w:szCs w:val="18"/>
        </w:rPr>
      </w:pPr>
    </w:p>
    <w:tbl>
      <w:tblPr>
        <w:tblStyle w:val="2"/>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4"/>
      </w:tblGrid>
      <w:tr w:rsidR="00C44FCD" w14:paraId="5FEB92B0" w14:textId="77777777">
        <w:tc>
          <w:tcPr>
            <w:tcW w:w="8784" w:type="dxa"/>
          </w:tcPr>
          <w:p w14:paraId="103232B1" w14:textId="6D12FB0B" w:rsidR="00C44FCD" w:rsidRPr="00710DAF" w:rsidRDefault="00FF36BC" w:rsidP="00776160">
            <w:pPr>
              <w:jc w:val="both"/>
              <w:rPr>
                <w:rFonts w:ascii="Times New Roman" w:eastAsia="Times New Roman" w:hAnsi="Times New Roman" w:cs="Times New Roman"/>
                <w:b/>
                <w:color w:val="000000"/>
                <w:sz w:val="18"/>
                <w:szCs w:val="18"/>
              </w:rPr>
            </w:pPr>
            <w:r w:rsidRPr="00710DAF">
              <w:rPr>
                <w:rFonts w:ascii="Times New Roman" w:eastAsia="Times New Roman" w:hAnsi="Times New Roman" w:cs="Times New Roman"/>
                <w:b/>
                <w:color w:val="000000"/>
                <w:sz w:val="18"/>
                <w:szCs w:val="18"/>
              </w:rPr>
              <w:t xml:space="preserve">SESIÓN </w:t>
            </w:r>
            <w:r w:rsidR="000C3D6F" w:rsidRPr="00710DAF">
              <w:rPr>
                <w:rFonts w:ascii="Times New Roman" w:eastAsia="Times New Roman" w:hAnsi="Times New Roman" w:cs="Times New Roman"/>
                <w:b/>
                <w:color w:val="000000"/>
                <w:sz w:val="18"/>
                <w:szCs w:val="18"/>
              </w:rPr>
              <w:t>6</w:t>
            </w:r>
            <w:r w:rsidRPr="00710DAF">
              <w:rPr>
                <w:rFonts w:ascii="Times New Roman" w:eastAsia="Times New Roman" w:hAnsi="Times New Roman" w:cs="Times New Roman"/>
                <w:b/>
                <w:color w:val="000000"/>
                <w:sz w:val="18"/>
                <w:szCs w:val="18"/>
              </w:rPr>
              <w:t xml:space="preserve">: PROCEDIMIENTO ADMINISTRATIVO </w:t>
            </w:r>
            <w:r w:rsidRPr="00710DAF">
              <w:rPr>
                <w:rFonts w:ascii="Times New Roman" w:eastAsia="Times New Roman" w:hAnsi="Times New Roman" w:cs="Times New Roman"/>
                <w:b/>
                <w:sz w:val="18"/>
                <w:szCs w:val="18"/>
              </w:rPr>
              <w:t>SANCIONADOR</w:t>
            </w:r>
            <w:r w:rsidRPr="00710DAF">
              <w:rPr>
                <w:rFonts w:ascii="Times New Roman" w:eastAsia="Times New Roman" w:hAnsi="Times New Roman" w:cs="Times New Roman"/>
                <w:b/>
                <w:color w:val="000000"/>
                <w:sz w:val="18"/>
                <w:szCs w:val="18"/>
              </w:rPr>
              <w:t xml:space="preserve"> ANTE EL TRIBUNAL DEL OSCE</w:t>
            </w:r>
          </w:p>
          <w:p w14:paraId="70CF6892" w14:textId="77777777" w:rsidR="00C44FCD" w:rsidRPr="00710DAF" w:rsidRDefault="00C44FCD" w:rsidP="00776160">
            <w:pPr>
              <w:jc w:val="both"/>
              <w:rPr>
                <w:rFonts w:ascii="Times New Roman" w:eastAsia="Times New Roman" w:hAnsi="Times New Roman" w:cs="Times New Roman"/>
                <w:b/>
                <w:color w:val="000000"/>
                <w:sz w:val="18"/>
                <w:szCs w:val="18"/>
              </w:rPr>
            </w:pPr>
          </w:p>
        </w:tc>
      </w:tr>
      <w:tr w:rsidR="00C44FCD" w14:paraId="33EC80B6" w14:textId="77777777">
        <w:tc>
          <w:tcPr>
            <w:tcW w:w="8784" w:type="dxa"/>
          </w:tcPr>
          <w:p w14:paraId="6B674845" w14:textId="77777777" w:rsidR="00C44FCD" w:rsidRPr="00710DAF" w:rsidRDefault="00FF36BC" w:rsidP="00776160">
            <w:pPr>
              <w:jc w:val="both"/>
              <w:rPr>
                <w:rFonts w:ascii="Times New Roman" w:eastAsia="Times New Roman" w:hAnsi="Times New Roman" w:cs="Times New Roman"/>
                <w:b/>
                <w:color w:val="000000"/>
                <w:sz w:val="18"/>
                <w:szCs w:val="18"/>
              </w:rPr>
            </w:pPr>
            <w:r w:rsidRPr="00710DAF">
              <w:rPr>
                <w:rFonts w:ascii="Times New Roman" w:eastAsia="Times New Roman" w:hAnsi="Times New Roman" w:cs="Times New Roman"/>
                <w:b/>
                <w:color w:val="000000"/>
                <w:sz w:val="18"/>
                <w:szCs w:val="18"/>
              </w:rPr>
              <w:t>EXPOSITOR: Jorge Abel Ruiz Bautista</w:t>
            </w:r>
          </w:p>
          <w:p w14:paraId="744C7334" w14:textId="77777777" w:rsidR="00C44FCD" w:rsidRPr="00710DAF" w:rsidRDefault="00C44FCD" w:rsidP="00776160">
            <w:pPr>
              <w:jc w:val="both"/>
              <w:rPr>
                <w:rFonts w:ascii="Times New Roman" w:eastAsia="Times New Roman" w:hAnsi="Times New Roman" w:cs="Times New Roman"/>
                <w:b/>
                <w:color w:val="000000"/>
                <w:sz w:val="18"/>
                <w:szCs w:val="18"/>
              </w:rPr>
            </w:pPr>
          </w:p>
        </w:tc>
      </w:tr>
      <w:tr w:rsidR="00C44FCD" w14:paraId="418981E1" w14:textId="77777777">
        <w:tc>
          <w:tcPr>
            <w:tcW w:w="8784" w:type="dxa"/>
          </w:tcPr>
          <w:p w14:paraId="13129279" w14:textId="77777777" w:rsidR="00C44FCD" w:rsidRDefault="00FF36BC"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LOGRO</w:t>
            </w:r>
          </w:p>
          <w:p w14:paraId="4A89E2F4" w14:textId="187C8F93" w:rsidR="00C44FCD" w:rsidRDefault="00FF36BC" w:rsidP="00776160">
            <w:pPr>
              <w:ind w:right="176"/>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Al finalizar el curso el estudiante analiza la finalidad y funcionamiento d</w:t>
            </w:r>
            <w:r>
              <w:rPr>
                <w:rFonts w:ascii="Times New Roman" w:eastAsia="Times New Roman" w:hAnsi="Times New Roman" w:cs="Times New Roman"/>
                <w:sz w:val="18"/>
                <w:szCs w:val="18"/>
              </w:rPr>
              <w:t xml:space="preserve">el correcto procedimiento ante el Tribunal del Organismo Superior de Contrataciones con el </w:t>
            </w:r>
            <w:r w:rsidR="009F579E">
              <w:rPr>
                <w:rFonts w:ascii="Times New Roman" w:eastAsia="Times New Roman" w:hAnsi="Times New Roman" w:cs="Times New Roman"/>
                <w:sz w:val="18"/>
                <w:szCs w:val="18"/>
              </w:rPr>
              <w:t>Estado.</w:t>
            </w:r>
            <w:r w:rsidR="009F579E">
              <w:rPr>
                <w:rFonts w:ascii="Times New Roman" w:eastAsia="Times New Roman" w:hAnsi="Times New Roman" w:cs="Times New Roman"/>
                <w:color w:val="000000"/>
                <w:sz w:val="18"/>
                <w:szCs w:val="18"/>
              </w:rPr>
              <w:t xml:space="preserve"> A</w:t>
            </w:r>
            <w:r>
              <w:rPr>
                <w:rFonts w:ascii="Times New Roman" w:eastAsia="Times New Roman" w:hAnsi="Times New Roman" w:cs="Times New Roman"/>
                <w:color w:val="000000"/>
                <w:sz w:val="18"/>
                <w:szCs w:val="18"/>
              </w:rPr>
              <w:t xml:space="preserve"> su vez, </w:t>
            </w:r>
            <w:r>
              <w:rPr>
                <w:rFonts w:ascii="Times New Roman" w:eastAsia="Times New Roman" w:hAnsi="Times New Roman" w:cs="Times New Roman"/>
                <w:sz w:val="18"/>
                <w:szCs w:val="18"/>
              </w:rPr>
              <w:t>el estudiante</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podrá hacer un análisis crítico de la</w:t>
            </w:r>
            <w:r>
              <w:rPr>
                <w:rFonts w:ascii="Times New Roman" w:eastAsia="Times New Roman" w:hAnsi="Times New Roman" w:cs="Times New Roman"/>
                <w:color w:val="000000"/>
                <w:sz w:val="18"/>
                <w:szCs w:val="18"/>
              </w:rPr>
              <w:t xml:space="preserve"> experiencia del Estado Peruano en su rol empresarial</w:t>
            </w:r>
            <w:r>
              <w:rPr>
                <w:rFonts w:ascii="Times New Roman" w:eastAsia="Times New Roman" w:hAnsi="Times New Roman" w:cs="Times New Roman"/>
                <w:sz w:val="18"/>
                <w:szCs w:val="18"/>
              </w:rPr>
              <w:t>. Finalmente, el asistente desarrollará un mejor manejo de los procesos contenciosos administrativos sancionadores ante el Poder Judicial en último recurso.</w:t>
            </w:r>
          </w:p>
          <w:p w14:paraId="26D490EB" w14:textId="77777777" w:rsidR="00C44FCD" w:rsidRDefault="00C44FCD" w:rsidP="00776160">
            <w:pPr>
              <w:ind w:right="176"/>
              <w:jc w:val="both"/>
              <w:rPr>
                <w:rFonts w:ascii="Times New Roman" w:eastAsia="Times New Roman" w:hAnsi="Times New Roman" w:cs="Times New Roman"/>
                <w:sz w:val="18"/>
                <w:szCs w:val="18"/>
              </w:rPr>
            </w:pPr>
          </w:p>
          <w:p w14:paraId="43C85EE3" w14:textId="77777777" w:rsidR="00C44FCD" w:rsidRDefault="00FF36BC"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  TEMARIO</w:t>
            </w:r>
          </w:p>
          <w:p w14:paraId="36E6F676" w14:textId="65CC44E5" w:rsidR="00005C4D" w:rsidRDefault="00005C4D"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 Procedimiento sancionador esquema acorde a la ley 27444.</w:t>
            </w:r>
          </w:p>
          <w:p w14:paraId="68AFBD35" w14:textId="7527B08E" w:rsidR="00005C4D" w:rsidRDefault="00005C4D"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6.1.1. Principios sancionadores.</w:t>
            </w:r>
          </w:p>
          <w:p w14:paraId="028ED284" w14:textId="2700ED76" w:rsidR="00005C4D" w:rsidRDefault="00005C4D"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6.1.2. Recurso de Impugnación.</w:t>
            </w:r>
          </w:p>
          <w:p w14:paraId="69A2883A" w14:textId="77777777" w:rsidR="00E948F7" w:rsidRDefault="00E948F7" w:rsidP="00776160">
            <w:pPr>
              <w:jc w:val="both"/>
              <w:rPr>
                <w:rFonts w:ascii="Times New Roman" w:eastAsia="Times New Roman" w:hAnsi="Times New Roman" w:cs="Times New Roman"/>
                <w:color w:val="000000"/>
                <w:sz w:val="18"/>
                <w:szCs w:val="18"/>
              </w:rPr>
            </w:pPr>
          </w:p>
          <w:p w14:paraId="741C4D3C" w14:textId="43EF1619" w:rsidR="00005C4D" w:rsidRDefault="00005C4D"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6.2. Procedimiento Administrativo ante el Tribunal de Contrataciones con el Estado (TCE) acorde al Procedimiento Administrativo Sancionador de la Ley 30225 y su reglamento.</w:t>
            </w:r>
          </w:p>
          <w:p w14:paraId="462F9C04" w14:textId="6B6F0522" w:rsidR="00005C4D" w:rsidRDefault="00005C4D"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6.2.1. I</w:t>
            </w:r>
            <w:r w:rsidR="00356822">
              <w:rPr>
                <w:rFonts w:ascii="Times New Roman" w:eastAsia="Times New Roman" w:hAnsi="Times New Roman" w:cs="Times New Roman"/>
                <w:color w:val="000000"/>
                <w:sz w:val="18"/>
                <w:szCs w:val="18"/>
              </w:rPr>
              <w:t>nfracción</w:t>
            </w:r>
            <w:r>
              <w:rPr>
                <w:rFonts w:ascii="Times New Roman" w:eastAsia="Times New Roman" w:hAnsi="Times New Roman" w:cs="Times New Roman"/>
                <w:color w:val="000000"/>
                <w:sz w:val="18"/>
                <w:szCs w:val="18"/>
              </w:rPr>
              <w:t>.</w:t>
            </w:r>
          </w:p>
          <w:p w14:paraId="08F7918E" w14:textId="0778296B" w:rsidR="00005C4D" w:rsidRDefault="00005C4D"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6.2.2. </w:t>
            </w:r>
            <w:r w:rsidR="00356822">
              <w:rPr>
                <w:rFonts w:ascii="Times New Roman" w:eastAsia="Times New Roman" w:hAnsi="Times New Roman" w:cs="Times New Roman"/>
                <w:color w:val="000000"/>
                <w:sz w:val="18"/>
                <w:szCs w:val="18"/>
              </w:rPr>
              <w:t xml:space="preserve">Suspensión del proceso </w:t>
            </w:r>
            <w:r w:rsidR="009F579E">
              <w:rPr>
                <w:rFonts w:ascii="Times New Roman" w:eastAsia="Times New Roman" w:hAnsi="Times New Roman" w:cs="Times New Roman"/>
                <w:color w:val="000000"/>
                <w:sz w:val="18"/>
                <w:szCs w:val="18"/>
              </w:rPr>
              <w:t>sancionador</w:t>
            </w:r>
            <w:r w:rsidR="00356822">
              <w:rPr>
                <w:rFonts w:ascii="Times New Roman" w:eastAsia="Times New Roman" w:hAnsi="Times New Roman" w:cs="Times New Roman"/>
                <w:color w:val="000000"/>
                <w:sz w:val="18"/>
                <w:szCs w:val="18"/>
              </w:rPr>
              <w:t>.</w:t>
            </w:r>
          </w:p>
          <w:p w14:paraId="7EB58D93" w14:textId="77777777" w:rsidR="00356822" w:rsidRDefault="00356822" w:rsidP="00776160">
            <w:pPr>
              <w:jc w:val="both"/>
              <w:rPr>
                <w:rFonts w:ascii="Times New Roman" w:eastAsia="Times New Roman" w:hAnsi="Times New Roman" w:cs="Times New Roman"/>
                <w:color w:val="000000"/>
                <w:sz w:val="18"/>
                <w:szCs w:val="18"/>
              </w:rPr>
            </w:pPr>
          </w:p>
          <w:p w14:paraId="38B0EBAA" w14:textId="77777777" w:rsidR="00C44FCD" w:rsidRDefault="00C44FCD" w:rsidP="00776160">
            <w:pPr>
              <w:jc w:val="both"/>
              <w:rPr>
                <w:rFonts w:ascii="Times New Roman" w:eastAsia="Times New Roman" w:hAnsi="Times New Roman" w:cs="Times New Roman"/>
                <w:b/>
                <w:color w:val="000000"/>
                <w:sz w:val="18"/>
                <w:szCs w:val="18"/>
              </w:rPr>
            </w:pPr>
          </w:p>
          <w:p w14:paraId="764D9B84" w14:textId="77777777" w:rsidR="00C44FCD" w:rsidRDefault="00FF36BC"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HORA(S) / SEMANA(S)</w:t>
            </w:r>
          </w:p>
          <w:p w14:paraId="1A541117" w14:textId="77777777" w:rsidR="00C44FCD" w:rsidRDefault="00FF36BC"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3 Horas /4 Semanas</w:t>
            </w:r>
          </w:p>
          <w:p w14:paraId="262055D5" w14:textId="77777777" w:rsidR="00C44FCD" w:rsidRDefault="00C44FCD" w:rsidP="00776160">
            <w:pPr>
              <w:jc w:val="both"/>
              <w:rPr>
                <w:rFonts w:ascii="Times New Roman" w:eastAsia="Times New Roman" w:hAnsi="Times New Roman" w:cs="Times New Roman"/>
                <w:b/>
                <w:color w:val="000000"/>
                <w:sz w:val="18"/>
                <w:szCs w:val="18"/>
              </w:rPr>
            </w:pPr>
          </w:p>
        </w:tc>
      </w:tr>
      <w:tr w:rsidR="00C44FCD" w14:paraId="3619B8CE" w14:textId="77777777">
        <w:tc>
          <w:tcPr>
            <w:tcW w:w="8784" w:type="dxa"/>
          </w:tcPr>
          <w:p w14:paraId="534862BD" w14:textId="77777777" w:rsidR="00C44FCD" w:rsidRDefault="00FF36BC" w:rsidP="00776160">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LECTURAS DE LA SESIÓN:</w:t>
            </w:r>
          </w:p>
          <w:p w14:paraId="17DD8475" w14:textId="149201EC" w:rsidR="00C44FCD" w:rsidRDefault="00C44FCD" w:rsidP="00776160">
            <w:pPr>
              <w:jc w:val="both"/>
              <w:rPr>
                <w:rFonts w:ascii="Times New Roman" w:eastAsia="Times New Roman" w:hAnsi="Times New Roman" w:cs="Times New Roman"/>
                <w:b/>
                <w:sz w:val="18"/>
                <w:szCs w:val="18"/>
              </w:rPr>
            </w:pPr>
          </w:p>
          <w:p w14:paraId="40606D16" w14:textId="533A791D" w:rsidR="009F579E" w:rsidRPr="009F579E" w:rsidRDefault="009F579E" w:rsidP="0021153F">
            <w:pPr>
              <w:pStyle w:val="NormalWeb"/>
              <w:spacing w:before="0" w:beforeAutospacing="0"/>
              <w:jc w:val="both"/>
              <w:rPr>
                <w:color w:val="000000"/>
                <w:sz w:val="18"/>
                <w:szCs w:val="18"/>
                <w:lang w:eastAsia="es-PE"/>
              </w:rPr>
            </w:pPr>
            <w:r w:rsidRPr="009F579E">
              <w:rPr>
                <w:color w:val="000000"/>
                <w:sz w:val="18"/>
                <w:szCs w:val="18"/>
              </w:rPr>
              <w:t>-</w:t>
            </w:r>
            <w:r w:rsidRPr="009F579E">
              <w:rPr>
                <w:color w:val="000000"/>
                <w:sz w:val="18"/>
                <w:szCs w:val="18"/>
                <w:lang w:eastAsia="es-PE"/>
              </w:rPr>
              <w:t xml:space="preserve">Tribunal de Contrataciones del Estado (2017). Acuerdo No 04-2017/TCE. Recuperado de : </w:t>
            </w:r>
            <w:hyperlink r:id="rId23" w:history="1">
              <w:r w:rsidRPr="0021153F">
                <w:rPr>
                  <w:color w:val="000000"/>
                  <w:sz w:val="18"/>
                  <w:szCs w:val="18"/>
                  <w:lang w:eastAsia="es-PE"/>
                </w:rPr>
                <w:t>https://www.caeperu.com/aula-virtual/docente-6/lecturas/acuerdo-de-sala-plena-n-04-2017-TCE.pdf</w:t>
              </w:r>
            </w:hyperlink>
            <w:r w:rsidRPr="009F579E">
              <w:rPr>
                <w:color w:val="000000"/>
                <w:sz w:val="18"/>
                <w:szCs w:val="18"/>
                <w:lang w:eastAsia="es-PE"/>
              </w:rPr>
              <w:t>.</w:t>
            </w:r>
          </w:p>
          <w:p w14:paraId="2A5794A0" w14:textId="75805C8F" w:rsidR="009F579E" w:rsidRPr="009F579E" w:rsidRDefault="009F579E" w:rsidP="0021153F">
            <w:pPr>
              <w:pStyle w:val="NormalWeb"/>
              <w:spacing w:before="0" w:beforeAutospacing="0"/>
              <w:jc w:val="both"/>
              <w:rPr>
                <w:color w:val="000000"/>
                <w:sz w:val="18"/>
                <w:szCs w:val="18"/>
                <w:lang w:eastAsia="es-PE"/>
              </w:rPr>
            </w:pPr>
            <w:r w:rsidRPr="009F579E">
              <w:rPr>
                <w:color w:val="000000"/>
                <w:sz w:val="18"/>
                <w:szCs w:val="18"/>
                <w:lang w:eastAsia="es-PE"/>
              </w:rPr>
              <w:t xml:space="preserve">- Guzmán (2018). Las contrataciones del Estado. Recuperado de: </w:t>
            </w:r>
            <w:hyperlink r:id="rId24" w:history="1">
              <w:r w:rsidRPr="0021153F">
                <w:rPr>
                  <w:color w:val="000000"/>
                  <w:sz w:val="18"/>
                  <w:szCs w:val="18"/>
                  <w:lang w:eastAsia="es-PE"/>
                </w:rPr>
                <w:t>https://www.caeperu.com/aula-virtual/docente-6/lecturas/guzman-2018-las-contrataciones-del-estado.pdf</w:t>
              </w:r>
            </w:hyperlink>
          </w:p>
          <w:p w14:paraId="433FEA50" w14:textId="4880A91E" w:rsidR="009F579E" w:rsidRPr="0021153F" w:rsidRDefault="009F579E" w:rsidP="0021153F">
            <w:pPr>
              <w:pStyle w:val="NormalWeb"/>
              <w:spacing w:before="0" w:beforeAutospacing="0"/>
              <w:jc w:val="both"/>
              <w:rPr>
                <w:color w:val="000000"/>
                <w:sz w:val="18"/>
                <w:szCs w:val="18"/>
                <w:lang w:eastAsia="es-PE"/>
              </w:rPr>
            </w:pPr>
            <w:r w:rsidRPr="009F579E">
              <w:rPr>
                <w:color w:val="000000"/>
                <w:sz w:val="18"/>
                <w:szCs w:val="18"/>
                <w:lang w:eastAsia="es-PE"/>
              </w:rPr>
              <w:t xml:space="preserve">- Subdirección de Capacitación del OSCE. Solución de Controversias. Recuperado </w:t>
            </w:r>
            <w:proofErr w:type="gramStart"/>
            <w:r w:rsidRPr="009F579E">
              <w:rPr>
                <w:color w:val="000000"/>
                <w:sz w:val="18"/>
                <w:szCs w:val="18"/>
                <w:lang w:eastAsia="es-PE"/>
              </w:rPr>
              <w:t>de :</w:t>
            </w:r>
            <w:proofErr w:type="gramEnd"/>
            <w:r w:rsidRPr="009F579E">
              <w:rPr>
                <w:color w:val="000000"/>
                <w:sz w:val="18"/>
                <w:szCs w:val="18"/>
                <w:lang w:eastAsia="es-PE"/>
              </w:rPr>
              <w:t xml:space="preserve"> </w:t>
            </w:r>
            <w:r w:rsidRPr="009F579E">
              <w:rPr>
                <w:color w:val="000000"/>
                <w:sz w:val="18"/>
                <w:szCs w:val="18"/>
                <w:lang w:eastAsia="es-PE"/>
              </w:rPr>
              <w:t>https://www.caeperu.com/aula-virtual/docente-6/lecturas/subdireccion-de-capacitacion-OSCE-solucion-de-controversias.pdf</w:t>
            </w:r>
            <w:r w:rsidRPr="0021153F">
              <w:rPr>
                <w:color w:val="000000"/>
                <w:sz w:val="18"/>
                <w:szCs w:val="18"/>
                <w:lang w:eastAsia="es-PE"/>
              </w:rPr>
              <w:t>.</w:t>
            </w:r>
          </w:p>
          <w:p w14:paraId="282F353A" w14:textId="77777777" w:rsidR="00C44FCD" w:rsidRDefault="00C44FCD" w:rsidP="00776160">
            <w:pPr>
              <w:jc w:val="both"/>
              <w:rPr>
                <w:rFonts w:ascii="Times New Roman" w:eastAsia="Times New Roman" w:hAnsi="Times New Roman" w:cs="Times New Roman"/>
                <w:b/>
                <w:color w:val="000000"/>
                <w:sz w:val="18"/>
                <w:szCs w:val="18"/>
              </w:rPr>
            </w:pPr>
          </w:p>
        </w:tc>
      </w:tr>
    </w:tbl>
    <w:p w14:paraId="13D37C4C" w14:textId="1A2D39D6" w:rsidR="00C44FCD" w:rsidRDefault="00C44FCD" w:rsidP="00776160">
      <w:pPr>
        <w:jc w:val="both"/>
        <w:rPr>
          <w:rFonts w:ascii="Times New Roman" w:eastAsia="Times New Roman" w:hAnsi="Times New Roman" w:cs="Times New Roman"/>
          <w:b/>
          <w:color w:val="000000"/>
          <w:sz w:val="18"/>
          <w:szCs w:val="18"/>
        </w:rPr>
      </w:pPr>
    </w:p>
    <w:p w14:paraId="5410926B" w14:textId="1ACDFE3F" w:rsidR="000C3D6F" w:rsidRDefault="000C3D6F" w:rsidP="00776160">
      <w:pPr>
        <w:jc w:val="both"/>
        <w:rPr>
          <w:rFonts w:ascii="Times New Roman" w:eastAsia="Times New Roman" w:hAnsi="Times New Roman" w:cs="Times New Roman"/>
          <w:b/>
          <w:color w:val="000000"/>
          <w:sz w:val="18"/>
          <w:szCs w:val="18"/>
        </w:rPr>
      </w:pPr>
    </w:p>
    <w:p w14:paraId="6B9F7586" w14:textId="5F6C9030" w:rsidR="000C3D6F" w:rsidRDefault="000C3D6F" w:rsidP="00776160">
      <w:pPr>
        <w:jc w:val="both"/>
        <w:rPr>
          <w:rFonts w:ascii="Times New Roman" w:eastAsia="Times New Roman" w:hAnsi="Times New Roman" w:cs="Times New Roman"/>
          <w:b/>
          <w:color w:val="000000"/>
          <w:sz w:val="18"/>
          <w:szCs w:val="18"/>
        </w:rPr>
      </w:pPr>
    </w:p>
    <w:p w14:paraId="62E45AAD" w14:textId="6D77857F" w:rsidR="000C3D6F" w:rsidRDefault="000C3D6F" w:rsidP="00776160">
      <w:pPr>
        <w:jc w:val="both"/>
        <w:rPr>
          <w:rFonts w:ascii="Times New Roman" w:eastAsia="Times New Roman" w:hAnsi="Times New Roman" w:cs="Times New Roman"/>
          <w:b/>
          <w:color w:val="000000"/>
          <w:sz w:val="18"/>
          <w:szCs w:val="18"/>
        </w:rPr>
      </w:pPr>
    </w:p>
    <w:p w14:paraId="1D49537F" w14:textId="2114FA71" w:rsidR="000C3D6F" w:rsidRDefault="000C3D6F" w:rsidP="00776160">
      <w:pPr>
        <w:jc w:val="both"/>
        <w:rPr>
          <w:rFonts w:ascii="Times New Roman" w:eastAsia="Times New Roman" w:hAnsi="Times New Roman" w:cs="Times New Roman"/>
          <w:b/>
          <w:color w:val="000000"/>
          <w:sz w:val="18"/>
          <w:szCs w:val="18"/>
        </w:rPr>
      </w:pPr>
    </w:p>
    <w:p w14:paraId="3CD88995" w14:textId="5A22EC5F" w:rsidR="000C3D6F" w:rsidRDefault="000C3D6F" w:rsidP="00776160">
      <w:pPr>
        <w:jc w:val="both"/>
        <w:rPr>
          <w:rFonts w:ascii="Times New Roman" w:eastAsia="Times New Roman" w:hAnsi="Times New Roman" w:cs="Times New Roman"/>
          <w:b/>
          <w:color w:val="000000"/>
          <w:sz w:val="18"/>
          <w:szCs w:val="18"/>
        </w:rPr>
      </w:pPr>
    </w:p>
    <w:p w14:paraId="08D2F126" w14:textId="1F7A0337" w:rsidR="000C3D6F" w:rsidRDefault="000C3D6F" w:rsidP="00776160">
      <w:pPr>
        <w:jc w:val="both"/>
        <w:rPr>
          <w:rFonts w:ascii="Times New Roman" w:eastAsia="Times New Roman" w:hAnsi="Times New Roman" w:cs="Times New Roman"/>
          <w:b/>
          <w:color w:val="000000"/>
          <w:sz w:val="18"/>
          <w:szCs w:val="18"/>
        </w:rPr>
      </w:pPr>
    </w:p>
    <w:p w14:paraId="104F2F5A" w14:textId="77777777" w:rsidR="000C3D6F" w:rsidRDefault="000C3D6F" w:rsidP="00776160">
      <w:pPr>
        <w:jc w:val="both"/>
        <w:rPr>
          <w:rFonts w:ascii="Times New Roman" w:eastAsia="Times New Roman" w:hAnsi="Times New Roman" w:cs="Times New Roman"/>
          <w:b/>
          <w:color w:val="000000"/>
          <w:sz w:val="18"/>
          <w:szCs w:val="18"/>
        </w:rPr>
      </w:pPr>
    </w:p>
    <w:tbl>
      <w:tblPr>
        <w:tblStyle w:val="3"/>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4"/>
      </w:tblGrid>
      <w:tr w:rsidR="000C3D6F" w14:paraId="0D2F294A" w14:textId="77777777" w:rsidTr="006B69B9">
        <w:tc>
          <w:tcPr>
            <w:tcW w:w="8784" w:type="dxa"/>
          </w:tcPr>
          <w:p w14:paraId="48D85049" w14:textId="411BF325" w:rsidR="000C3D6F" w:rsidRPr="00710DAF" w:rsidRDefault="000C3D6F" w:rsidP="00776160">
            <w:pPr>
              <w:jc w:val="both"/>
              <w:rPr>
                <w:rFonts w:ascii="Times New Roman" w:eastAsia="Times New Roman" w:hAnsi="Times New Roman" w:cs="Times New Roman"/>
                <w:b/>
                <w:color w:val="000000"/>
                <w:sz w:val="18"/>
                <w:szCs w:val="18"/>
              </w:rPr>
            </w:pPr>
            <w:r w:rsidRPr="00710DAF">
              <w:rPr>
                <w:rFonts w:ascii="Times New Roman" w:eastAsia="Times New Roman" w:hAnsi="Times New Roman" w:cs="Times New Roman"/>
                <w:b/>
                <w:color w:val="000000"/>
                <w:sz w:val="18"/>
                <w:szCs w:val="18"/>
              </w:rPr>
              <w:t>SESIÓN 7: PROGRAMACIÓN DE NECESIDADES Y FRACCIONAMIENTO</w:t>
            </w:r>
            <w:r w:rsidR="00710DAF" w:rsidRPr="00710DAF">
              <w:rPr>
                <w:rFonts w:ascii="Times New Roman" w:eastAsia="Times New Roman" w:hAnsi="Times New Roman" w:cs="Times New Roman"/>
                <w:b/>
                <w:color w:val="000000"/>
                <w:sz w:val="18"/>
                <w:szCs w:val="18"/>
              </w:rPr>
              <w:t xml:space="preserve"> Y CONTRATACIONES DIRECTAS</w:t>
            </w:r>
          </w:p>
          <w:p w14:paraId="2D8CCA07" w14:textId="77777777" w:rsidR="000C3D6F" w:rsidRPr="00710DAF" w:rsidRDefault="000C3D6F" w:rsidP="00776160">
            <w:pPr>
              <w:jc w:val="both"/>
              <w:rPr>
                <w:rFonts w:ascii="Times New Roman" w:eastAsia="Times New Roman" w:hAnsi="Times New Roman" w:cs="Times New Roman"/>
                <w:b/>
                <w:color w:val="000000"/>
                <w:sz w:val="18"/>
                <w:szCs w:val="18"/>
              </w:rPr>
            </w:pPr>
          </w:p>
        </w:tc>
      </w:tr>
      <w:tr w:rsidR="000C3D6F" w14:paraId="70B6315D" w14:textId="77777777" w:rsidTr="006B69B9">
        <w:tc>
          <w:tcPr>
            <w:tcW w:w="8784" w:type="dxa"/>
          </w:tcPr>
          <w:p w14:paraId="654FBEF1" w14:textId="77777777" w:rsidR="000C3D6F" w:rsidRPr="00710DAF" w:rsidRDefault="000C3D6F" w:rsidP="00776160">
            <w:pPr>
              <w:jc w:val="both"/>
              <w:rPr>
                <w:rFonts w:ascii="Times New Roman" w:eastAsia="Times New Roman" w:hAnsi="Times New Roman" w:cs="Times New Roman"/>
                <w:b/>
                <w:color w:val="000000"/>
                <w:sz w:val="18"/>
                <w:szCs w:val="18"/>
              </w:rPr>
            </w:pPr>
            <w:r w:rsidRPr="00710DAF">
              <w:rPr>
                <w:rFonts w:ascii="Times New Roman" w:eastAsia="Times New Roman" w:hAnsi="Times New Roman" w:cs="Times New Roman"/>
                <w:b/>
                <w:color w:val="000000"/>
                <w:sz w:val="18"/>
                <w:szCs w:val="18"/>
              </w:rPr>
              <w:t>EXPOSITOR: Roy Álvarez</w:t>
            </w:r>
          </w:p>
          <w:p w14:paraId="3F5D1332" w14:textId="77777777" w:rsidR="000C3D6F" w:rsidRPr="00710DAF" w:rsidRDefault="000C3D6F" w:rsidP="00776160">
            <w:pPr>
              <w:jc w:val="both"/>
              <w:rPr>
                <w:rFonts w:ascii="Times New Roman" w:eastAsia="Times New Roman" w:hAnsi="Times New Roman" w:cs="Times New Roman"/>
                <w:b/>
                <w:color w:val="000000"/>
                <w:sz w:val="18"/>
                <w:szCs w:val="18"/>
              </w:rPr>
            </w:pPr>
          </w:p>
        </w:tc>
      </w:tr>
      <w:tr w:rsidR="000C3D6F" w14:paraId="247BD58A" w14:textId="77777777" w:rsidTr="006B69B9">
        <w:tc>
          <w:tcPr>
            <w:tcW w:w="8784" w:type="dxa"/>
          </w:tcPr>
          <w:p w14:paraId="1890B293" w14:textId="77777777" w:rsidR="000C3D6F" w:rsidRDefault="000C3D6F"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LOGRO</w:t>
            </w:r>
          </w:p>
          <w:p w14:paraId="021F7990" w14:textId="77777777" w:rsidR="000C3D6F" w:rsidRDefault="000C3D6F" w:rsidP="00776160">
            <w:pPr>
              <w:ind w:right="176"/>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Logro Competencia: Investigación Jurídica.</w:t>
            </w:r>
          </w:p>
          <w:p w14:paraId="0C8739B8" w14:textId="77777777" w:rsidR="000C3D6F" w:rsidRDefault="000C3D6F" w:rsidP="00776160">
            <w:pPr>
              <w:ind w:right="176"/>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 finalizar el curso, el estudiante </w:t>
            </w:r>
            <w:r>
              <w:rPr>
                <w:rFonts w:ascii="Times New Roman" w:eastAsia="Times New Roman" w:hAnsi="Times New Roman" w:cs="Times New Roman"/>
                <w:sz w:val="18"/>
                <w:szCs w:val="18"/>
              </w:rPr>
              <w:t>domina el procedimiento para la programación de necesidades anuales. Asimismo, discierne sobre el correcto uso y utilidad del debido fraccionamiento en los contratos Estatales a luz de la normativa peruana vigente.</w:t>
            </w:r>
          </w:p>
          <w:p w14:paraId="3ABE085C" w14:textId="77777777" w:rsidR="000C3D6F" w:rsidRDefault="000C3D6F" w:rsidP="00776160">
            <w:pPr>
              <w:jc w:val="both"/>
              <w:rPr>
                <w:rFonts w:ascii="Times New Roman" w:eastAsia="Times New Roman" w:hAnsi="Times New Roman" w:cs="Times New Roman"/>
                <w:b/>
                <w:color w:val="000000"/>
                <w:sz w:val="18"/>
                <w:szCs w:val="18"/>
              </w:rPr>
            </w:pPr>
          </w:p>
          <w:p w14:paraId="27538AF4" w14:textId="77777777" w:rsidR="000C3D6F" w:rsidRDefault="000C3D6F"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TEMARIO</w:t>
            </w:r>
          </w:p>
          <w:p w14:paraId="4B067F84" w14:textId="44F635F5" w:rsidR="000C3D6F" w:rsidRDefault="000C3D6F"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 Programación de necesidades</w:t>
            </w:r>
          </w:p>
          <w:p w14:paraId="3480DB0F" w14:textId="24B8EB59"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7.1.1. Armonizando los Instrumentos la Gestión Institucional</w:t>
            </w:r>
          </w:p>
          <w:p w14:paraId="65297BC3" w14:textId="0E3A3FD1"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7.1.2. PEI</w:t>
            </w:r>
          </w:p>
          <w:p w14:paraId="6BAEFF7A" w14:textId="24F2AB17"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7.1.3. Finalidad de la Contratación Pública</w:t>
            </w:r>
          </w:p>
          <w:p w14:paraId="1D740754" w14:textId="5CC04D5F"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7.1.4. Plan Anual de Contrataciones.</w:t>
            </w:r>
          </w:p>
          <w:p w14:paraId="52B291A5" w14:textId="67FE8198"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7.1.5. Requerimiento de Contratación.</w:t>
            </w:r>
          </w:p>
          <w:p w14:paraId="29BE934D" w14:textId="71B58BC7"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7.1.6. Modalidad y Sistema de Contratación.</w:t>
            </w:r>
          </w:p>
          <w:p w14:paraId="693FCF1B" w14:textId="0C9A4BBA"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7.1.7. Estandarización.</w:t>
            </w:r>
          </w:p>
          <w:p w14:paraId="01F2CE6B" w14:textId="5F879987"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7.1.8. Homologación.</w:t>
            </w:r>
          </w:p>
          <w:p w14:paraId="7019C0A8" w14:textId="77777777" w:rsidR="00E948F7" w:rsidRDefault="00E948F7" w:rsidP="00776160">
            <w:pPr>
              <w:jc w:val="both"/>
              <w:rPr>
                <w:rFonts w:ascii="Times New Roman" w:eastAsia="Times New Roman" w:hAnsi="Times New Roman" w:cs="Times New Roman"/>
                <w:color w:val="000000"/>
                <w:sz w:val="18"/>
                <w:szCs w:val="18"/>
              </w:rPr>
            </w:pPr>
          </w:p>
          <w:p w14:paraId="44DF195D" w14:textId="00350BAB" w:rsidR="000C3D6F" w:rsidRDefault="000C3D6F"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 Fraccionamiento</w:t>
            </w:r>
            <w:r w:rsidR="009F579E">
              <w:rPr>
                <w:rFonts w:ascii="Times New Roman" w:eastAsia="Times New Roman" w:hAnsi="Times New Roman" w:cs="Times New Roman"/>
                <w:color w:val="000000"/>
                <w:sz w:val="18"/>
                <w:szCs w:val="18"/>
              </w:rPr>
              <w:t>.</w:t>
            </w:r>
          </w:p>
          <w:p w14:paraId="5601DD35" w14:textId="0E0D4CAE"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7.2.1. Fraccionamiento Indebido.</w:t>
            </w:r>
          </w:p>
          <w:p w14:paraId="2F437379" w14:textId="09B2C2BD"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7.2.2. Concentración de Prestaciones.</w:t>
            </w:r>
          </w:p>
          <w:p w14:paraId="7400FF5A" w14:textId="277B4F0A"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7.2.3. Supuestos de Fraccionamiento.</w:t>
            </w:r>
          </w:p>
          <w:p w14:paraId="4093E941" w14:textId="78789CC7"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7.2.4. Catálogo Electrónico de Acuerdo Marco.</w:t>
            </w:r>
          </w:p>
          <w:p w14:paraId="00E42A01" w14:textId="38083E4B"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7.2.5. Consecuencias del Fraccionamiento.</w:t>
            </w:r>
          </w:p>
          <w:p w14:paraId="2F4A979E" w14:textId="7B2BF989"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7.2.6. Contrataciones por montos menores e iguales a 8 UIT</w:t>
            </w:r>
          </w:p>
          <w:p w14:paraId="6110F182" w14:textId="7F66B2CB"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7.2.7. Normativa de Contrataciones del Estado.</w:t>
            </w:r>
          </w:p>
          <w:p w14:paraId="39293E9E" w14:textId="21E6046B"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7.2.8. Supuestos excluidos del ámbito de aplicación.</w:t>
            </w:r>
          </w:p>
          <w:p w14:paraId="54AA87F7" w14:textId="77777777" w:rsidR="009F579E" w:rsidRPr="009F579E" w:rsidRDefault="009F579E" w:rsidP="00776160">
            <w:pPr>
              <w:jc w:val="both"/>
              <w:rPr>
                <w:rFonts w:ascii="Times New Roman" w:eastAsia="Times New Roman" w:hAnsi="Times New Roman" w:cs="Times New Roman"/>
                <w:color w:val="000000"/>
                <w:sz w:val="18"/>
                <w:szCs w:val="18"/>
              </w:rPr>
            </w:pPr>
          </w:p>
          <w:p w14:paraId="3DDCDEED" w14:textId="77777777" w:rsidR="000C3D6F" w:rsidRDefault="000C3D6F"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HORA(S) / SEMANA(S)</w:t>
            </w:r>
          </w:p>
          <w:p w14:paraId="5D60F147" w14:textId="77777777" w:rsidR="000C3D6F" w:rsidRDefault="000C3D6F"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 Horas / 4 Semanas</w:t>
            </w:r>
          </w:p>
          <w:p w14:paraId="6B15200F" w14:textId="77777777" w:rsidR="000C3D6F" w:rsidRDefault="000C3D6F" w:rsidP="00776160">
            <w:pPr>
              <w:jc w:val="both"/>
              <w:rPr>
                <w:rFonts w:ascii="Times New Roman" w:eastAsia="Times New Roman" w:hAnsi="Times New Roman" w:cs="Times New Roman"/>
                <w:b/>
                <w:color w:val="000000"/>
                <w:sz w:val="18"/>
                <w:szCs w:val="18"/>
              </w:rPr>
            </w:pPr>
          </w:p>
        </w:tc>
      </w:tr>
      <w:tr w:rsidR="000C3D6F" w14:paraId="2AE9DD0A" w14:textId="77777777" w:rsidTr="006B69B9">
        <w:tc>
          <w:tcPr>
            <w:tcW w:w="8784" w:type="dxa"/>
          </w:tcPr>
          <w:p w14:paraId="3DBBCCCD" w14:textId="77777777" w:rsidR="000C3D6F" w:rsidRDefault="000C3D6F"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LECTURAS DE LA SESIÓN:</w:t>
            </w:r>
          </w:p>
          <w:p w14:paraId="65D6A77C" w14:textId="4C11CBC5" w:rsidR="000C3D6F"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lastRenderedPageBreak/>
              <w:t>-RAC</w:t>
            </w:r>
            <w:r w:rsidR="000C3D6F">
              <w:rPr>
                <w:rFonts w:ascii="Times New Roman" w:eastAsia="Times New Roman" w:hAnsi="Times New Roman" w:cs="Times New Roman"/>
                <w:color w:val="000000"/>
                <w:sz w:val="18"/>
                <w:szCs w:val="18"/>
              </w:rPr>
              <w:t>. (2</w:t>
            </w:r>
            <w:r>
              <w:rPr>
                <w:rFonts w:ascii="Times New Roman" w:eastAsia="Times New Roman" w:hAnsi="Times New Roman" w:cs="Times New Roman"/>
                <w:color w:val="000000"/>
                <w:sz w:val="18"/>
                <w:szCs w:val="18"/>
              </w:rPr>
              <w:t>019</w:t>
            </w:r>
            <w:r w:rsidR="000C3D6F">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Requerimiento.</w:t>
            </w:r>
          </w:p>
          <w:p w14:paraId="370C659E" w14:textId="3763CDA5" w:rsidR="009F579E" w:rsidRDefault="009F579E"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-Zambrano Olivera, E (2009). Algunos apuntes sobre la Fase de Actos Preparatorios en las Contrataciones del Estado. Revista. Circulo de Derecho Administrativo.</w:t>
            </w:r>
          </w:p>
          <w:p w14:paraId="05B925C0" w14:textId="2CA452E2" w:rsidR="009F579E" w:rsidRPr="009F579E" w:rsidRDefault="009F579E" w:rsidP="00776160">
            <w:pPr>
              <w:jc w:val="both"/>
              <w:rPr>
                <w:rFonts w:ascii="Times New Roman" w:eastAsia="Times New Roman" w:hAnsi="Times New Roman" w:cs="Times New Roman"/>
                <w:color w:val="000000"/>
                <w:sz w:val="18"/>
                <w:szCs w:val="18"/>
              </w:rPr>
            </w:pPr>
          </w:p>
        </w:tc>
      </w:tr>
    </w:tbl>
    <w:p w14:paraId="4C165888" w14:textId="77777777" w:rsidR="000C3D6F" w:rsidRDefault="000C3D6F" w:rsidP="00776160">
      <w:pPr>
        <w:jc w:val="both"/>
        <w:rPr>
          <w:rFonts w:ascii="Times New Roman" w:eastAsia="Times New Roman" w:hAnsi="Times New Roman" w:cs="Times New Roman"/>
          <w:b/>
          <w:color w:val="000000"/>
          <w:sz w:val="18"/>
          <w:szCs w:val="18"/>
        </w:rPr>
      </w:pPr>
    </w:p>
    <w:tbl>
      <w:tblPr>
        <w:tblStyle w:val="1"/>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4"/>
      </w:tblGrid>
      <w:tr w:rsidR="00C44FCD" w14:paraId="5BD7FFD3" w14:textId="77777777">
        <w:tc>
          <w:tcPr>
            <w:tcW w:w="8784" w:type="dxa"/>
          </w:tcPr>
          <w:p w14:paraId="5FDB28E9" w14:textId="77777777" w:rsidR="000C3D6F" w:rsidRDefault="00FF36BC" w:rsidP="00776160">
            <w:pPr>
              <w:ind w:right="176"/>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SESIÓN 8: MECANISMOS DE SOLUCIÓN DE </w:t>
            </w:r>
            <w:r>
              <w:rPr>
                <w:rFonts w:ascii="Times New Roman" w:eastAsia="Times New Roman" w:hAnsi="Times New Roman" w:cs="Times New Roman"/>
                <w:b/>
                <w:sz w:val="18"/>
                <w:szCs w:val="18"/>
              </w:rPr>
              <w:t>CONTROVERSIAS</w:t>
            </w:r>
            <w:r>
              <w:rPr>
                <w:rFonts w:ascii="Times New Roman" w:eastAsia="Times New Roman" w:hAnsi="Times New Roman" w:cs="Times New Roman"/>
                <w:b/>
                <w:color w:val="000000"/>
                <w:sz w:val="18"/>
                <w:szCs w:val="18"/>
              </w:rPr>
              <w:t xml:space="preserve"> EN LA LEY DE CONTRATACIÓN </w:t>
            </w:r>
          </w:p>
          <w:p w14:paraId="335431B2" w14:textId="734A2E7D" w:rsidR="00C44FCD" w:rsidRDefault="00FF36BC" w:rsidP="00776160">
            <w:pPr>
              <w:ind w:right="176"/>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DEL ESTADO. CONCILIACIÓN EXTRAJUDICIAL, ARBITRAJE Y JUNTA DE RESOLUCIÓN DE DISPUTAS</w:t>
            </w:r>
          </w:p>
          <w:p w14:paraId="40035B72" w14:textId="77777777" w:rsidR="00C44FCD" w:rsidRDefault="00C44FCD" w:rsidP="00776160">
            <w:pPr>
              <w:jc w:val="both"/>
              <w:rPr>
                <w:rFonts w:ascii="Times New Roman" w:eastAsia="Times New Roman" w:hAnsi="Times New Roman" w:cs="Times New Roman"/>
                <w:b/>
                <w:color w:val="000000"/>
                <w:sz w:val="18"/>
                <w:szCs w:val="18"/>
              </w:rPr>
            </w:pPr>
          </w:p>
        </w:tc>
      </w:tr>
      <w:tr w:rsidR="00C44FCD" w14:paraId="40DD8F21" w14:textId="77777777">
        <w:tc>
          <w:tcPr>
            <w:tcW w:w="8784" w:type="dxa"/>
          </w:tcPr>
          <w:p w14:paraId="087E3293" w14:textId="77777777" w:rsidR="00C44FCD" w:rsidRDefault="00FF36BC"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EXPOSITOR: Tatiana Herrada</w:t>
            </w:r>
          </w:p>
          <w:p w14:paraId="6C66DA9C" w14:textId="77777777" w:rsidR="00C44FCD" w:rsidRDefault="00C44FCD" w:rsidP="00776160">
            <w:pPr>
              <w:jc w:val="both"/>
              <w:rPr>
                <w:rFonts w:ascii="Times New Roman" w:eastAsia="Times New Roman" w:hAnsi="Times New Roman" w:cs="Times New Roman"/>
                <w:b/>
                <w:color w:val="000000"/>
                <w:sz w:val="18"/>
                <w:szCs w:val="18"/>
              </w:rPr>
            </w:pPr>
          </w:p>
        </w:tc>
      </w:tr>
      <w:tr w:rsidR="00C44FCD" w14:paraId="20484285" w14:textId="77777777">
        <w:tc>
          <w:tcPr>
            <w:tcW w:w="8784" w:type="dxa"/>
          </w:tcPr>
          <w:p w14:paraId="0EC8B397" w14:textId="77777777" w:rsidR="00C44FCD" w:rsidRDefault="00FF36BC"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LOGRO</w:t>
            </w:r>
          </w:p>
          <w:p w14:paraId="449E7016" w14:textId="77777777" w:rsidR="00C44FCD" w:rsidRDefault="00C44FCD" w:rsidP="00776160">
            <w:pPr>
              <w:jc w:val="both"/>
              <w:rPr>
                <w:rFonts w:ascii="Times New Roman" w:eastAsia="Times New Roman" w:hAnsi="Times New Roman" w:cs="Times New Roman"/>
                <w:b/>
                <w:color w:val="000000"/>
                <w:sz w:val="18"/>
                <w:szCs w:val="18"/>
              </w:rPr>
            </w:pPr>
          </w:p>
          <w:p w14:paraId="0D3ED9BB" w14:textId="77777777" w:rsidR="00C44FCD" w:rsidRDefault="00FF36BC" w:rsidP="00776160">
            <w:pPr>
              <w:tabs>
                <w:tab w:val="left" w:pos="8392"/>
              </w:tabs>
              <w:ind w:right="176"/>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 finalizar el curso el estudiante maneja los diversos mecanismos de soluc</w:t>
            </w:r>
            <w:r>
              <w:rPr>
                <w:rFonts w:ascii="Times New Roman" w:eastAsia="Times New Roman" w:hAnsi="Times New Roman" w:cs="Times New Roman"/>
                <w:sz w:val="18"/>
                <w:szCs w:val="18"/>
              </w:rPr>
              <w:t>ión de controversias acorde al actual marco normativo. Asimismo, reconoce el correcto desarrollo de las alternativas de resolución de conflictos como la conciliación Extrajudicial, el procedimiento del arbitraje y su relevancia en la ley de Contrataciones con el Estado. A su vez, el asistente entenderá qué es la Junta de Resolución de Disputas, cuál es su utilidad y en qué casos utilizar un determinado mecanismo en vez de otro.</w:t>
            </w:r>
          </w:p>
          <w:p w14:paraId="3F339754" w14:textId="77777777" w:rsidR="00C44FCD" w:rsidRDefault="00C44FCD" w:rsidP="00776160">
            <w:pPr>
              <w:jc w:val="both"/>
              <w:rPr>
                <w:rFonts w:ascii="Times New Roman" w:eastAsia="Times New Roman" w:hAnsi="Times New Roman" w:cs="Times New Roman"/>
                <w:b/>
                <w:color w:val="000000"/>
                <w:sz w:val="18"/>
                <w:szCs w:val="18"/>
              </w:rPr>
            </w:pPr>
          </w:p>
          <w:p w14:paraId="3941346D" w14:textId="77777777" w:rsidR="00C44FCD" w:rsidRDefault="00FF36BC"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TEMARIO</w:t>
            </w:r>
          </w:p>
          <w:p w14:paraId="15851B4F" w14:textId="7FA792A6" w:rsidR="00C44FCD" w:rsidRDefault="00FF36BC"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8.1. Conciliación Extrajudicial.</w:t>
            </w:r>
          </w:p>
          <w:p w14:paraId="5AB1F406" w14:textId="67C0D8C5" w:rsidR="006D6C03" w:rsidRDefault="006D6C03"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8.1.1 Concepto</w:t>
            </w:r>
            <w:r w:rsidR="0021153F">
              <w:rPr>
                <w:rFonts w:ascii="Times New Roman" w:eastAsia="Times New Roman" w:hAnsi="Times New Roman" w:cs="Times New Roman"/>
                <w:color w:val="000000"/>
                <w:sz w:val="18"/>
                <w:szCs w:val="18"/>
              </w:rPr>
              <w:t xml:space="preserve"> y Obligatoriedad</w:t>
            </w:r>
          </w:p>
          <w:p w14:paraId="3D851645" w14:textId="3B64F2AC" w:rsidR="006D6C03" w:rsidRDefault="006D6C03"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8.1.</w:t>
            </w:r>
            <w:r w:rsidR="0021153F">
              <w:rPr>
                <w:rFonts w:ascii="Times New Roman" w:eastAsia="Times New Roman" w:hAnsi="Times New Roman" w:cs="Times New Roman"/>
                <w:color w:val="000000"/>
                <w:sz w:val="18"/>
                <w:szCs w:val="18"/>
              </w:rPr>
              <w:t>2. Materias Conciliables y No Conciliables.</w:t>
            </w:r>
          </w:p>
          <w:p w14:paraId="4F461659" w14:textId="77777777" w:rsidR="0021153F" w:rsidRDefault="0021153F" w:rsidP="00776160">
            <w:pPr>
              <w:jc w:val="both"/>
              <w:rPr>
                <w:rFonts w:ascii="Times New Roman" w:eastAsia="Times New Roman" w:hAnsi="Times New Roman" w:cs="Times New Roman"/>
                <w:color w:val="000000"/>
                <w:sz w:val="18"/>
                <w:szCs w:val="18"/>
              </w:rPr>
            </w:pPr>
          </w:p>
          <w:p w14:paraId="2E7553C8" w14:textId="7886F398" w:rsidR="00C44FCD" w:rsidRDefault="00FF36BC"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 Arbitraje.</w:t>
            </w:r>
          </w:p>
          <w:p w14:paraId="6C3C1251" w14:textId="25C3B4F5" w:rsidR="006D6C03" w:rsidRDefault="006D6C03"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8.2.1. Naturaleza Jurídica.</w:t>
            </w:r>
          </w:p>
          <w:p w14:paraId="5ACFE7C0" w14:textId="77777777" w:rsidR="006D6C03" w:rsidRDefault="006D6C03"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8.2.2. Convenio Arbitral</w:t>
            </w:r>
          </w:p>
          <w:p w14:paraId="6001EA5A" w14:textId="28D47E53" w:rsidR="006D6C03" w:rsidRDefault="006D6C03"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8.2.3 Etapas del Proceso Arbitral.</w:t>
            </w:r>
          </w:p>
          <w:p w14:paraId="1B703549" w14:textId="62158956" w:rsidR="006D6C03" w:rsidRDefault="006D6C03"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8.2.4. Orden de Prelación de Reglas.</w:t>
            </w:r>
          </w:p>
          <w:p w14:paraId="6F428839" w14:textId="6D2A1ABA" w:rsidR="006D6C03" w:rsidRDefault="006D6C03"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roofErr w:type="gramStart"/>
            <w:r>
              <w:rPr>
                <w:rFonts w:ascii="Times New Roman" w:eastAsia="Times New Roman" w:hAnsi="Times New Roman" w:cs="Times New Roman"/>
                <w:color w:val="000000"/>
                <w:sz w:val="18"/>
                <w:szCs w:val="18"/>
              </w:rPr>
              <w:t>2.5..</w:t>
            </w:r>
            <w:proofErr w:type="gramEnd"/>
            <w:r>
              <w:rPr>
                <w:rFonts w:ascii="Times New Roman" w:eastAsia="Times New Roman" w:hAnsi="Times New Roman" w:cs="Times New Roman"/>
                <w:color w:val="000000"/>
                <w:sz w:val="18"/>
                <w:szCs w:val="18"/>
              </w:rPr>
              <w:t xml:space="preserve"> Materias Arbitrables.</w:t>
            </w:r>
          </w:p>
          <w:p w14:paraId="035034DB" w14:textId="08A5703C" w:rsidR="006D6C03" w:rsidRDefault="006D6C03"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8.2.6. Materias No Arbitrables.</w:t>
            </w:r>
          </w:p>
          <w:p w14:paraId="4DCF60F9" w14:textId="6361753B" w:rsidR="006D6C03" w:rsidRDefault="006D6C03"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8.2.7. Medidas Cautel</w:t>
            </w:r>
            <w:r w:rsidR="00DA1EBD">
              <w:rPr>
                <w:rFonts w:ascii="Times New Roman" w:eastAsia="Times New Roman" w:hAnsi="Times New Roman" w:cs="Times New Roman"/>
                <w:color w:val="000000"/>
                <w:sz w:val="18"/>
                <w:szCs w:val="18"/>
              </w:rPr>
              <w:t>ares en el Arbitraje.</w:t>
            </w:r>
          </w:p>
          <w:p w14:paraId="2CDB489A" w14:textId="39961C27" w:rsidR="00DA1EBD" w:rsidRDefault="00DA1EBD"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8.2.8. La Prueba en el Arbitraje.</w:t>
            </w:r>
          </w:p>
          <w:p w14:paraId="4EC2CC79" w14:textId="0FCC125D" w:rsidR="00DA1EBD" w:rsidRDefault="00DA1EBD"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8.2.9. Resoluciones del Tribunal Arbitral.</w:t>
            </w:r>
          </w:p>
          <w:p w14:paraId="22E93116" w14:textId="4ED428A0" w:rsidR="00DA1EBD" w:rsidRDefault="00DA1EBD"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8.2.10. Laudo.</w:t>
            </w:r>
          </w:p>
          <w:p w14:paraId="3C27693A" w14:textId="77777777" w:rsidR="0021153F" w:rsidRDefault="0021153F" w:rsidP="00776160">
            <w:pPr>
              <w:jc w:val="both"/>
              <w:rPr>
                <w:rFonts w:ascii="Times New Roman" w:eastAsia="Times New Roman" w:hAnsi="Times New Roman" w:cs="Times New Roman"/>
                <w:color w:val="000000"/>
                <w:sz w:val="18"/>
                <w:szCs w:val="18"/>
              </w:rPr>
            </w:pPr>
          </w:p>
          <w:p w14:paraId="661BEE54" w14:textId="66293BCC" w:rsidR="00C44FCD" w:rsidRDefault="00FF36BC"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8.3. Junta de Resolución de Disputas</w:t>
            </w:r>
          </w:p>
          <w:p w14:paraId="56E7E4C3" w14:textId="128F1628" w:rsidR="00776160" w:rsidRDefault="00776160"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8.3.1. Conformación, características y funciones.</w:t>
            </w:r>
          </w:p>
          <w:p w14:paraId="758B0167" w14:textId="1B81C11E" w:rsidR="00776160" w:rsidRDefault="00776160"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8.3.2. Materias </w:t>
            </w:r>
            <w:proofErr w:type="spellStart"/>
            <w:r>
              <w:rPr>
                <w:rFonts w:ascii="Times New Roman" w:eastAsia="Times New Roman" w:hAnsi="Times New Roman" w:cs="Times New Roman"/>
                <w:color w:val="000000"/>
                <w:sz w:val="18"/>
                <w:szCs w:val="18"/>
              </w:rPr>
              <w:t>sometibles</w:t>
            </w:r>
            <w:proofErr w:type="spellEnd"/>
            <w:r>
              <w:rPr>
                <w:rFonts w:ascii="Times New Roman" w:eastAsia="Times New Roman" w:hAnsi="Times New Roman" w:cs="Times New Roman"/>
                <w:color w:val="000000"/>
                <w:sz w:val="18"/>
                <w:szCs w:val="18"/>
              </w:rPr>
              <w:t xml:space="preserve"> a la JRD</w:t>
            </w:r>
          </w:p>
          <w:p w14:paraId="6C696E19" w14:textId="7C1E9E2D" w:rsidR="00776160" w:rsidRDefault="00776160"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8.3.3. Materiales no </w:t>
            </w:r>
            <w:proofErr w:type="spellStart"/>
            <w:r>
              <w:rPr>
                <w:rFonts w:ascii="Times New Roman" w:eastAsia="Times New Roman" w:hAnsi="Times New Roman" w:cs="Times New Roman"/>
                <w:color w:val="000000"/>
                <w:sz w:val="18"/>
                <w:szCs w:val="18"/>
              </w:rPr>
              <w:t>sometibles</w:t>
            </w:r>
            <w:proofErr w:type="spellEnd"/>
            <w:r>
              <w:rPr>
                <w:rFonts w:ascii="Times New Roman" w:eastAsia="Times New Roman" w:hAnsi="Times New Roman" w:cs="Times New Roman"/>
                <w:color w:val="000000"/>
                <w:sz w:val="18"/>
                <w:szCs w:val="18"/>
              </w:rPr>
              <w:t xml:space="preserve"> a la JRD</w:t>
            </w:r>
          </w:p>
          <w:p w14:paraId="3DA72B38" w14:textId="3F8281E5" w:rsidR="00776160" w:rsidRDefault="00776160" w:rsidP="0077616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8.3.4. Procedimiento.</w:t>
            </w:r>
          </w:p>
          <w:p w14:paraId="58930214" w14:textId="77777777" w:rsidR="00C44FCD" w:rsidRDefault="00C44FCD" w:rsidP="00776160">
            <w:pPr>
              <w:jc w:val="both"/>
              <w:rPr>
                <w:rFonts w:ascii="Times New Roman" w:eastAsia="Times New Roman" w:hAnsi="Times New Roman" w:cs="Times New Roman"/>
                <w:b/>
                <w:color w:val="000000"/>
                <w:sz w:val="18"/>
                <w:szCs w:val="18"/>
              </w:rPr>
            </w:pPr>
          </w:p>
          <w:p w14:paraId="1AC392E2" w14:textId="77777777" w:rsidR="00C44FCD" w:rsidRDefault="00FF36BC"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HORA(S) / SEMANA(S)</w:t>
            </w:r>
          </w:p>
          <w:p w14:paraId="5BE6A4DE" w14:textId="77777777" w:rsidR="00C44FCD" w:rsidRDefault="00FF36BC" w:rsidP="0077616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 Horas / 4 Semanas</w:t>
            </w:r>
          </w:p>
          <w:p w14:paraId="3A4FBE67" w14:textId="77777777" w:rsidR="00C44FCD" w:rsidRDefault="00C44FCD" w:rsidP="00776160">
            <w:pPr>
              <w:jc w:val="both"/>
              <w:rPr>
                <w:rFonts w:ascii="Times New Roman" w:eastAsia="Times New Roman" w:hAnsi="Times New Roman" w:cs="Times New Roman"/>
                <w:b/>
                <w:color w:val="000000"/>
                <w:sz w:val="18"/>
                <w:szCs w:val="18"/>
              </w:rPr>
            </w:pPr>
          </w:p>
        </w:tc>
      </w:tr>
      <w:tr w:rsidR="00C44FCD" w14:paraId="1CA5B34E" w14:textId="77777777">
        <w:tc>
          <w:tcPr>
            <w:tcW w:w="8784" w:type="dxa"/>
          </w:tcPr>
          <w:p w14:paraId="0F2CBEA3" w14:textId="77777777" w:rsidR="00C44FCD" w:rsidRDefault="00FF36BC" w:rsidP="00776160">
            <w:pPr>
              <w:ind w:right="181" w:firstLine="22"/>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LECTURAS DE LA SESIÓN:</w:t>
            </w:r>
          </w:p>
          <w:p w14:paraId="429A3048" w14:textId="77777777" w:rsidR="00C44FCD" w:rsidRDefault="00FF36BC" w:rsidP="00776160">
            <w:pPr>
              <w:ind w:right="181" w:firstLine="2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-Morón, J.C. y Aguilera, </w:t>
            </w:r>
            <w:proofErr w:type="gramStart"/>
            <w:r>
              <w:rPr>
                <w:rFonts w:ascii="Times New Roman" w:eastAsia="Times New Roman" w:hAnsi="Times New Roman" w:cs="Times New Roman"/>
                <w:color w:val="000000"/>
                <w:sz w:val="18"/>
                <w:szCs w:val="18"/>
              </w:rPr>
              <w:t>Z.(</w:t>
            </w:r>
            <w:proofErr w:type="gramEnd"/>
            <w:r>
              <w:rPr>
                <w:rFonts w:ascii="Times New Roman" w:eastAsia="Times New Roman" w:hAnsi="Times New Roman" w:cs="Times New Roman"/>
                <w:color w:val="000000"/>
                <w:sz w:val="18"/>
                <w:szCs w:val="18"/>
              </w:rPr>
              <w:t>2017) Los Instrumentos de Protección frente a los Actos Indebidos de la Administración . Editorial Fondo Editorial 167-182.</w:t>
            </w:r>
          </w:p>
          <w:p w14:paraId="303B156C" w14:textId="77777777" w:rsidR="00C44FCD" w:rsidRDefault="00FF36BC" w:rsidP="00776160">
            <w:pPr>
              <w:ind w:right="181" w:firstLine="2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-Hurtado </w:t>
            </w:r>
            <w:proofErr w:type="spellStart"/>
            <w:r>
              <w:rPr>
                <w:rFonts w:ascii="Times New Roman" w:eastAsia="Times New Roman" w:hAnsi="Times New Roman" w:cs="Times New Roman"/>
                <w:color w:val="000000"/>
                <w:sz w:val="18"/>
                <w:szCs w:val="18"/>
              </w:rPr>
              <w:t>Falvy</w:t>
            </w:r>
            <w:proofErr w:type="spellEnd"/>
            <w:r>
              <w:rPr>
                <w:rFonts w:ascii="Times New Roman" w:eastAsia="Times New Roman" w:hAnsi="Times New Roman" w:cs="Times New Roman"/>
                <w:color w:val="000000"/>
                <w:sz w:val="18"/>
                <w:szCs w:val="18"/>
              </w:rPr>
              <w:t xml:space="preserve">, J.M. (2015) De la Conciliación Decisoria a la Junta de Resolución de Disputas: Apuntes </w:t>
            </w:r>
            <w:proofErr w:type="gramStart"/>
            <w:r>
              <w:rPr>
                <w:rFonts w:ascii="Times New Roman" w:eastAsia="Times New Roman" w:hAnsi="Times New Roman" w:cs="Times New Roman"/>
                <w:color w:val="000000"/>
                <w:sz w:val="18"/>
                <w:szCs w:val="18"/>
              </w:rPr>
              <w:t>en Relación a</w:t>
            </w:r>
            <w:proofErr w:type="gramEnd"/>
            <w:r>
              <w:rPr>
                <w:rFonts w:ascii="Times New Roman" w:eastAsia="Times New Roman" w:hAnsi="Times New Roman" w:cs="Times New Roman"/>
                <w:color w:val="000000"/>
                <w:sz w:val="18"/>
                <w:szCs w:val="18"/>
              </w:rPr>
              <w:t xml:space="preserve"> la Junta de Resolución de Disputas como Nuevo Método de Resolución de Conflictos para un Contrato de Obra Formalizado Bajo el Ámbito de la Nueva Ley de Contrataciones del Estado. Revista Derecho &amp; Sociedad </w:t>
            </w:r>
            <w:proofErr w:type="spellStart"/>
            <w:r>
              <w:rPr>
                <w:rFonts w:ascii="Times New Roman" w:eastAsia="Times New Roman" w:hAnsi="Times New Roman" w:cs="Times New Roman"/>
                <w:color w:val="000000"/>
                <w:sz w:val="18"/>
                <w:szCs w:val="18"/>
              </w:rPr>
              <w:t>Nº</w:t>
            </w:r>
            <w:proofErr w:type="spellEnd"/>
            <w:r>
              <w:rPr>
                <w:rFonts w:ascii="Times New Roman" w:eastAsia="Times New Roman" w:hAnsi="Times New Roman" w:cs="Times New Roman"/>
                <w:color w:val="000000"/>
                <w:sz w:val="18"/>
                <w:szCs w:val="18"/>
              </w:rPr>
              <w:t xml:space="preserve"> 44.203-210.</w:t>
            </w:r>
          </w:p>
          <w:p w14:paraId="65B18CD9" w14:textId="77777777" w:rsidR="00C44FCD" w:rsidRDefault="00FF36BC" w:rsidP="00776160">
            <w:pPr>
              <w:ind w:right="181" w:firstLine="2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-García Vizcarra, </w:t>
            </w:r>
            <w:proofErr w:type="gramStart"/>
            <w:r>
              <w:rPr>
                <w:rFonts w:ascii="Times New Roman" w:eastAsia="Times New Roman" w:hAnsi="Times New Roman" w:cs="Times New Roman"/>
                <w:color w:val="000000"/>
                <w:sz w:val="18"/>
                <w:szCs w:val="18"/>
              </w:rPr>
              <w:t>D.(</w:t>
            </w:r>
            <w:proofErr w:type="gramEnd"/>
            <w:r>
              <w:rPr>
                <w:rFonts w:ascii="Times New Roman" w:eastAsia="Times New Roman" w:hAnsi="Times New Roman" w:cs="Times New Roman"/>
                <w:color w:val="000000"/>
                <w:sz w:val="18"/>
                <w:szCs w:val="18"/>
              </w:rPr>
              <w:t xml:space="preserve">2020) Panorama actual del arbitraje en contrataciones con el Estado: algunas reflexiones a propósito de las últimas modificaciones a las últimas modificaciones a la Ley N.30225 y su reglamento. Revista de Derecho YACHAQ. </w:t>
            </w:r>
            <w:proofErr w:type="spellStart"/>
            <w:r>
              <w:rPr>
                <w:rFonts w:ascii="Times New Roman" w:eastAsia="Times New Roman" w:hAnsi="Times New Roman" w:cs="Times New Roman"/>
                <w:color w:val="000000"/>
                <w:sz w:val="18"/>
                <w:szCs w:val="18"/>
              </w:rPr>
              <w:t>Nº</w:t>
            </w:r>
            <w:proofErr w:type="spellEnd"/>
            <w:r>
              <w:rPr>
                <w:rFonts w:ascii="Times New Roman" w:eastAsia="Times New Roman" w:hAnsi="Times New Roman" w:cs="Times New Roman"/>
                <w:color w:val="000000"/>
                <w:sz w:val="18"/>
                <w:szCs w:val="18"/>
              </w:rPr>
              <w:t xml:space="preserve"> 10. 47-62.</w:t>
            </w:r>
          </w:p>
          <w:p w14:paraId="67755F02" w14:textId="77777777" w:rsidR="00C44FCD" w:rsidRDefault="00FF36BC" w:rsidP="00776160">
            <w:pPr>
              <w:ind w:right="181" w:firstLine="2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-OSCE (2019). Opinión </w:t>
            </w:r>
            <w:proofErr w:type="spellStart"/>
            <w:r>
              <w:rPr>
                <w:rFonts w:ascii="Times New Roman" w:eastAsia="Times New Roman" w:hAnsi="Times New Roman" w:cs="Times New Roman"/>
                <w:sz w:val="18"/>
                <w:szCs w:val="18"/>
              </w:rPr>
              <w:t>Nº</w:t>
            </w:r>
            <w:proofErr w:type="spellEnd"/>
            <w:r>
              <w:rPr>
                <w:rFonts w:ascii="Times New Roman" w:eastAsia="Times New Roman" w:hAnsi="Times New Roman" w:cs="Times New Roman"/>
                <w:sz w:val="18"/>
                <w:szCs w:val="18"/>
              </w:rPr>
              <w:t xml:space="preserve"> 152-2019/DTN: Medios de solución de controversias de la ejecución contractual. Recuperado de:</w:t>
            </w:r>
            <w:hyperlink r:id="rId25">
              <w:r>
                <w:rPr>
                  <w:rFonts w:ascii="Times New Roman" w:eastAsia="Times New Roman" w:hAnsi="Times New Roman" w:cs="Times New Roman"/>
                  <w:color w:val="1155CC"/>
                  <w:sz w:val="18"/>
                  <w:szCs w:val="18"/>
                  <w:u w:val="single"/>
                </w:rPr>
                <w:t>https://portal.osce.gob.pe/osce/sites/default/files/Documentos/legislacion/Legislacion%20y%20Documentos%20Elaborados%20por%20el%20OSCE/Opiniones_2019/152-19%20-%20MIN.DE%20EDUCACION%20-TD.%2015282726%20-</w:t>
              </w:r>
              <w:r>
                <w:rPr>
                  <w:rFonts w:ascii="Times New Roman" w:eastAsia="Times New Roman" w:hAnsi="Times New Roman" w:cs="Times New Roman"/>
                  <w:color w:val="1155CC"/>
                  <w:sz w:val="18"/>
                  <w:szCs w:val="18"/>
                  <w:u w:val="single"/>
                </w:rPr>
                <w:lastRenderedPageBreak/>
                <w:t>%20%20MEDIOS%20SOLUCION%20CONTROVERSIAS%20%20EJEC.%20CONTRACTUAL.doc</w:t>
              </w:r>
            </w:hyperlink>
          </w:p>
          <w:p w14:paraId="1CCACB70" w14:textId="77777777" w:rsidR="00C44FCD" w:rsidRDefault="00FF36BC" w:rsidP="00776160">
            <w:pPr>
              <w:ind w:right="181" w:firstLine="22"/>
              <w:jc w:val="both"/>
              <w:rPr>
                <w:rFonts w:ascii="Times New Roman" w:eastAsia="Times New Roman" w:hAnsi="Times New Roman" w:cs="Times New Roman"/>
                <w:color w:val="1155CC"/>
                <w:sz w:val="18"/>
                <w:szCs w:val="18"/>
                <w:u w:val="single"/>
              </w:rPr>
            </w:pPr>
            <w:r>
              <w:rPr>
                <w:rFonts w:ascii="Times New Roman" w:eastAsia="Times New Roman" w:hAnsi="Times New Roman" w:cs="Times New Roman"/>
                <w:sz w:val="18"/>
                <w:szCs w:val="18"/>
              </w:rPr>
              <w:t xml:space="preserve">-OSCE (2019). Opinión </w:t>
            </w:r>
            <w:proofErr w:type="spellStart"/>
            <w:r>
              <w:rPr>
                <w:rFonts w:ascii="Times New Roman" w:eastAsia="Times New Roman" w:hAnsi="Times New Roman" w:cs="Times New Roman"/>
                <w:sz w:val="18"/>
                <w:szCs w:val="18"/>
              </w:rPr>
              <w:t>Nº</w:t>
            </w:r>
            <w:proofErr w:type="spellEnd"/>
            <w:r>
              <w:rPr>
                <w:rFonts w:ascii="Times New Roman" w:eastAsia="Times New Roman" w:hAnsi="Times New Roman" w:cs="Times New Roman"/>
                <w:sz w:val="18"/>
                <w:szCs w:val="18"/>
              </w:rPr>
              <w:t xml:space="preserve"> 167-2019/DTN: Conciliación dentro del arbitraje. Recuperado de:</w:t>
            </w:r>
            <w:hyperlink r:id="rId26">
              <w:r>
                <w:rPr>
                  <w:rFonts w:ascii="Times New Roman" w:eastAsia="Times New Roman" w:hAnsi="Times New Roman" w:cs="Times New Roman"/>
                  <w:color w:val="1155CC"/>
                  <w:sz w:val="18"/>
                  <w:szCs w:val="18"/>
                  <w:u w:val="single"/>
                </w:rPr>
                <w:t>https://portal.osce.gob.pe/osce/sites/default/files/Documentos/legislacion/Legislacion%20y%20Documentos%20Elaborados%20por%20el%20OSCE/Opiniones_2019/167-19%20-%20TD.%2015444725%20-%20DAVID%20BERNABE%20MEDINA%20AIQUIPA%20-%20Conciliaci%C3%B3n%20dentro%20del%20arbitraje.doc</w:t>
              </w:r>
            </w:hyperlink>
          </w:p>
          <w:p w14:paraId="2AEB36E5" w14:textId="4E2F489A" w:rsidR="00C44FCD" w:rsidRDefault="00FF36BC" w:rsidP="00776160">
            <w:pPr>
              <w:spacing w:before="240" w:after="240"/>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-OSCE (2019). Opinión </w:t>
            </w:r>
            <w:proofErr w:type="spellStart"/>
            <w:r>
              <w:rPr>
                <w:rFonts w:ascii="Times New Roman" w:eastAsia="Times New Roman" w:hAnsi="Times New Roman" w:cs="Times New Roman"/>
                <w:sz w:val="18"/>
                <w:szCs w:val="18"/>
              </w:rPr>
              <w:t>Nº</w:t>
            </w:r>
            <w:proofErr w:type="spellEnd"/>
            <w:r>
              <w:rPr>
                <w:rFonts w:ascii="Times New Roman" w:eastAsia="Times New Roman" w:hAnsi="Times New Roman" w:cs="Times New Roman"/>
                <w:sz w:val="18"/>
                <w:szCs w:val="18"/>
              </w:rPr>
              <w:t xml:space="preserve"> 186-2019/DTN: Plazo para someter una controversia a conciliación o arbitraje. Recuperado de:</w:t>
            </w:r>
            <w:hyperlink r:id="rId27" w:history="1">
              <w:r w:rsidR="0021153F" w:rsidRPr="00F3053E">
                <w:rPr>
                  <w:rStyle w:val="Hipervnculo"/>
                  <w:rFonts w:ascii="Times New Roman" w:eastAsia="Times New Roman" w:hAnsi="Times New Roman" w:cs="Times New Roman"/>
                  <w:sz w:val="18"/>
                  <w:szCs w:val="18"/>
                </w:rPr>
                <w:t>https://portal.osce.gob.pe/osce/sites/default/files/Documentos/legislacion/Legislacion%20y%20Documentos%20Elaborados%20por%20el%20OSCE/Opiniones_2019/186-19%20-%20TD.%2015621359%20%20Seguro%20Integral%20de%20Salud.docx</w:t>
              </w:r>
            </w:hyperlink>
          </w:p>
        </w:tc>
      </w:tr>
    </w:tbl>
    <w:p w14:paraId="1BDC6F16" w14:textId="77777777" w:rsidR="00C44FCD" w:rsidRDefault="00C44FCD">
      <w:pPr>
        <w:rPr>
          <w:rFonts w:ascii="Times New Roman" w:eastAsia="Times New Roman" w:hAnsi="Times New Roman" w:cs="Times New Roman"/>
          <w:color w:val="000000"/>
          <w:sz w:val="18"/>
          <w:szCs w:val="18"/>
        </w:rPr>
      </w:pPr>
    </w:p>
    <w:p w14:paraId="729E57DC" w14:textId="77777777" w:rsidR="00C44FCD" w:rsidRDefault="00C44FCD">
      <w:pPr>
        <w:rPr>
          <w:rFonts w:ascii="Times New Roman" w:eastAsia="Times New Roman" w:hAnsi="Times New Roman" w:cs="Times New Roman"/>
          <w:color w:val="000000"/>
          <w:sz w:val="18"/>
          <w:szCs w:val="18"/>
        </w:rPr>
      </w:pPr>
    </w:p>
    <w:p w14:paraId="3F9D8DF4" w14:textId="77777777" w:rsidR="00C44FCD" w:rsidRDefault="00FF36BC">
      <w:pPr>
        <w:numPr>
          <w:ilvl w:val="0"/>
          <w:numId w:val="3"/>
        </w:numPr>
        <w:pBdr>
          <w:top w:val="nil"/>
          <w:left w:val="nil"/>
          <w:bottom w:val="nil"/>
          <w:right w:val="nil"/>
          <w:between w:val="nil"/>
        </w:pBdr>
        <w:tabs>
          <w:tab w:val="left" w:pos="391"/>
        </w:tabs>
        <w:ind w:left="370" w:hanging="22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METODOLOGÍA</w:t>
      </w:r>
    </w:p>
    <w:p w14:paraId="1A5BAD5F" w14:textId="77777777" w:rsidR="00C44FCD" w:rsidRDefault="00C44FCD">
      <w:pPr>
        <w:pBdr>
          <w:top w:val="nil"/>
          <w:left w:val="nil"/>
          <w:bottom w:val="nil"/>
          <w:right w:val="nil"/>
          <w:between w:val="nil"/>
        </w:pBdr>
        <w:spacing w:before="5"/>
        <w:rPr>
          <w:rFonts w:ascii="Times New Roman" w:eastAsia="Times New Roman" w:hAnsi="Times New Roman" w:cs="Times New Roman"/>
          <w:b/>
          <w:color w:val="000000"/>
          <w:sz w:val="19"/>
          <w:szCs w:val="19"/>
        </w:rPr>
      </w:pPr>
    </w:p>
    <w:p w14:paraId="4A16E649" w14:textId="77777777" w:rsidR="00C44FCD" w:rsidRDefault="00FF36BC">
      <w:pPr>
        <w:spacing w:before="1" w:line="312" w:lineRule="auto"/>
        <w:ind w:left="100" w:right="107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El Modelo Educativo de la Círculo de Arbitraje con el Estado – CAE asegura una formación integral, que tiene como pilar la comprensión de los temas a través de un proceso de enseñanza-aprendizaje donde el participante cumple un rol activo en su aprendizaje, </w:t>
      </w:r>
      <w:r>
        <w:rPr>
          <w:rFonts w:ascii="Times New Roman" w:eastAsia="Times New Roman" w:hAnsi="Times New Roman" w:cs="Times New Roman"/>
          <w:sz w:val="20"/>
          <w:szCs w:val="20"/>
        </w:rPr>
        <w:t>construyéndose</w:t>
      </w:r>
      <w:r>
        <w:rPr>
          <w:rFonts w:ascii="Times New Roman" w:eastAsia="Times New Roman" w:hAnsi="Times New Roman" w:cs="Times New Roman"/>
          <w:color w:val="000000"/>
          <w:sz w:val="20"/>
          <w:szCs w:val="20"/>
        </w:rPr>
        <w:t xml:space="preserve"> a partir de la exposición, análisis, discusión e interacción con sus pares, y conectándolo con sus experiencias y conocimientos previos. Por ello, cada sesión está diseñada para ofrecer al participante diversas maneras de apropiarse y poner en práctica el nuevo conocimiento,</w:t>
      </w:r>
    </w:p>
    <w:p w14:paraId="6B8D5103" w14:textId="77777777" w:rsidR="00C44FCD" w:rsidRDefault="00C44FCD">
      <w:pPr>
        <w:pBdr>
          <w:top w:val="nil"/>
          <w:left w:val="nil"/>
          <w:bottom w:val="nil"/>
          <w:right w:val="nil"/>
          <w:between w:val="nil"/>
        </w:pBdr>
        <w:spacing w:before="5"/>
        <w:rPr>
          <w:rFonts w:ascii="Times New Roman" w:eastAsia="Times New Roman" w:hAnsi="Times New Roman" w:cs="Times New Roman"/>
          <w:color w:val="000000"/>
          <w:sz w:val="26"/>
          <w:szCs w:val="26"/>
        </w:rPr>
      </w:pPr>
    </w:p>
    <w:p w14:paraId="2769DFC5" w14:textId="77777777" w:rsidR="00C44FCD" w:rsidRDefault="00FF36BC">
      <w:pPr>
        <w:spacing w:line="312" w:lineRule="auto"/>
        <w:ind w:left="100" w:right="10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 consonancia con la estrategia pedagógica de la metodología activa adoptada por la institución, se fomentarán discusiones a través de casos prácticos, donde la participación de los asistentes, mediante el estudio previo de los materiales asignados y la participación en las sesiones para del Seminario. A su vez, el participante deberá dedicar al menos 3 horas semanales para las lecturas que son parte del aprendizaje autónomo. </w:t>
      </w:r>
    </w:p>
    <w:p w14:paraId="23BA4FD3" w14:textId="77777777" w:rsidR="00C44FCD" w:rsidRDefault="00C44FCD">
      <w:pPr>
        <w:pBdr>
          <w:top w:val="nil"/>
          <w:left w:val="nil"/>
          <w:bottom w:val="nil"/>
          <w:right w:val="nil"/>
          <w:between w:val="nil"/>
        </w:pBdr>
        <w:spacing w:before="10"/>
        <w:rPr>
          <w:rFonts w:ascii="Times New Roman" w:eastAsia="Times New Roman" w:hAnsi="Times New Roman" w:cs="Times New Roman"/>
          <w:color w:val="000000"/>
          <w:sz w:val="26"/>
          <w:szCs w:val="26"/>
        </w:rPr>
      </w:pPr>
    </w:p>
    <w:p w14:paraId="3D952187" w14:textId="77777777" w:rsidR="00C44FCD" w:rsidRDefault="00FF36BC">
      <w:pPr>
        <w:spacing w:line="312" w:lineRule="auto"/>
        <w:ind w:left="100" w:right="10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metodología que se utilizará será: Exposición del profesor a manera de introducción del tema, luego se desarrollan casos de aplicación práctica y/o dinámicas de grupo que faciliten el aprendizaje. A partir de la primera clase, el alumno deberá asistir a las clases revisando obligatoriamente:</w:t>
      </w:r>
    </w:p>
    <w:p w14:paraId="1D3403A6" w14:textId="77777777" w:rsidR="00C44FCD" w:rsidRDefault="00C44FCD">
      <w:pPr>
        <w:pBdr>
          <w:top w:val="nil"/>
          <w:left w:val="nil"/>
          <w:bottom w:val="nil"/>
          <w:right w:val="nil"/>
          <w:between w:val="nil"/>
        </w:pBdr>
        <w:spacing w:before="2"/>
        <w:rPr>
          <w:rFonts w:ascii="Times New Roman" w:eastAsia="Times New Roman" w:hAnsi="Times New Roman" w:cs="Times New Roman"/>
          <w:color w:val="000000"/>
          <w:sz w:val="32"/>
          <w:szCs w:val="32"/>
        </w:rPr>
      </w:pPr>
    </w:p>
    <w:p w14:paraId="6F7CB558" w14:textId="77777777" w:rsidR="00C44FCD" w:rsidRDefault="00FF36BC">
      <w:pPr>
        <w:numPr>
          <w:ilvl w:val="0"/>
          <w:numId w:val="1"/>
        </w:numPr>
        <w:pBdr>
          <w:top w:val="nil"/>
          <w:left w:val="nil"/>
          <w:bottom w:val="nil"/>
          <w:right w:val="nil"/>
          <w:between w:val="nil"/>
        </w:pBdr>
        <w:tabs>
          <w:tab w:val="left" w:pos="324"/>
        </w:tabs>
        <w:spacing w:line="312" w:lineRule="auto"/>
        <w:ind w:right="942"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 página web del Organismo Superior de las Contrataciones OSCE: </w:t>
      </w:r>
      <w:hyperlink r:id="rId28">
        <w:r>
          <w:rPr>
            <w:rFonts w:ascii="Times New Roman" w:eastAsia="Times New Roman" w:hAnsi="Times New Roman" w:cs="Times New Roman"/>
            <w:color w:val="000000"/>
            <w:sz w:val="20"/>
            <w:szCs w:val="20"/>
          </w:rPr>
          <w:t xml:space="preserve">www.osce.gob.pe </w:t>
        </w:r>
      </w:hyperlink>
      <w:r>
        <w:rPr>
          <w:rFonts w:ascii="Times New Roman" w:eastAsia="Times New Roman" w:hAnsi="Times New Roman" w:cs="Times New Roman"/>
          <w:color w:val="000000"/>
          <w:sz w:val="20"/>
          <w:szCs w:val="20"/>
        </w:rPr>
        <w:t xml:space="preserve">- Familiarizarse con el  siguiente link: </w:t>
      </w:r>
      <w:hyperlink r:id="rId29">
        <w:r>
          <w:rPr>
            <w:rFonts w:ascii="Times New Roman" w:eastAsia="Times New Roman" w:hAnsi="Times New Roman" w:cs="Times New Roman"/>
            <w:color w:val="000000"/>
            <w:sz w:val="20"/>
            <w:szCs w:val="20"/>
          </w:rPr>
          <w:t>www.seace.gob.pe</w:t>
        </w:r>
      </w:hyperlink>
    </w:p>
    <w:p w14:paraId="1E45DA18" w14:textId="77777777" w:rsidR="00C44FCD" w:rsidRDefault="00FF36BC">
      <w:pPr>
        <w:numPr>
          <w:ilvl w:val="0"/>
          <w:numId w:val="1"/>
        </w:numPr>
        <w:pBdr>
          <w:top w:val="nil"/>
          <w:left w:val="nil"/>
          <w:bottom w:val="nil"/>
          <w:right w:val="nil"/>
          <w:between w:val="nil"/>
        </w:pBdr>
        <w:tabs>
          <w:tab w:val="left" w:pos="323"/>
        </w:tabs>
        <w:spacing w:before="70"/>
        <w:ind w:left="322" w:hanging="22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Revisando las lecturas que corresponden a cada sesión, según la relación de lecturas.</w:t>
      </w:r>
    </w:p>
    <w:p w14:paraId="78CC9E8F" w14:textId="525FF45F" w:rsidR="00C44FCD" w:rsidRDefault="00C44FCD">
      <w:pPr>
        <w:pBdr>
          <w:top w:val="nil"/>
          <w:left w:val="nil"/>
          <w:bottom w:val="nil"/>
          <w:right w:val="nil"/>
          <w:between w:val="nil"/>
        </w:pBdr>
        <w:tabs>
          <w:tab w:val="left" w:pos="323"/>
        </w:tabs>
        <w:spacing w:before="70"/>
        <w:rPr>
          <w:rFonts w:ascii="Times New Roman" w:eastAsia="Times New Roman" w:hAnsi="Times New Roman" w:cs="Times New Roman"/>
          <w:sz w:val="20"/>
          <w:szCs w:val="20"/>
        </w:rPr>
      </w:pPr>
    </w:p>
    <w:p w14:paraId="462EC61D" w14:textId="0B732C11" w:rsidR="0086238B" w:rsidRDefault="0086238B">
      <w:pPr>
        <w:pBdr>
          <w:top w:val="nil"/>
          <w:left w:val="nil"/>
          <w:bottom w:val="nil"/>
          <w:right w:val="nil"/>
          <w:between w:val="nil"/>
        </w:pBdr>
        <w:tabs>
          <w:tab w:val="left" w:pos="323"/>
        </w:tabs>
        <w:spacing w:before="70"/>
        <w:rPr>
          <w:rFonts w:ascii="Times New Roman" w:eastAsia="Times New Roman" w:hAnsi="Times New Roman" w:cs="Times New Roman"/>
          <w:sz w:val="20"/>
          <w:szCs w:val="20"/>
        </w:rPr>
      </w:pPr>
    </w:p>
    <w:p w14:paraId="5C6E405F" w14:textId="0CA85F32" w:rsidR="0086238B" w:rsidRDefault="0086238B">
      <w:pPr>
        <w:pBdr>
          <w:top w:val="nil"/>
          <w:left w:val="nil"/>
          <w:bottom w:val="nil"/>
          <w:right w:val="nil"/>
          <w:between w:val="nil"/>
        </w:pBdr>
        <w:tabs>
          <w:tab w:val="left" w:pos="323"/>
        </w:tabs>
        <w:spacing w:before="70"/>
        <w:rPr>
          <w:rFonts w:ascii="Times New Roman" w:eastAsia="Times New Roman" w:hAnsi="Times New Roman" w:cs="Times New Roman"/>
          <w:sz w:val="20"/>
          <w:szCs w:val="20"/>
        </w:rPr>
      </w:pPr>
    </w:p>
    <w:p w14:paraId="3258BD1C" w14:textId="115B9AA4" w:rsidR="0086238B" w:rsidRDefault="0086238B">
      <w:pPr>
        <w:pBdr>
          <w:top w:val="nil"/>
          <w:left w:val="nil"/>
          <w:bottom w:val="nil"/>
          <w:right w:val="nil"/>
          <w:between w:val="nil"/>
        </w:pBdr>
        <w:tabs>
          <w:tab w:val="left" w:pos="323"/>
        </w:tabs>
        <w:spacing w:before="70"/>
        <w:rPr>
          <w:rFonts w:ascii="Times New Roman" w:eastAsia="Times New Roman" w:hAnsi="Times New Roman" w:cs="Times New Roman"/>
          <w:sz w:val="20"/>
          <w:szCs w:val="20"/>
        </w:rPr>
      </w:pPr>
    </w:p>
    <w:p w14:paraId="0248334A" w14:textId="26E449B8" w:rsidR="0086238B" w:rsidRDefault="0086238B">
      <w:pPr>
        <w:pBdr>
          <w:top w:val="nil"/>
          <w:left w:val="nil"/>
          <w:bottom w:val="nil"/>
          <w:right w:val="nil"/>
          <w:between w:val="nil"/>
        </w:pBdr>
        <w:tabs>
          <w:tab w:val="left" w:pos="323"/>
        </w:tabs>
        <w:spacing w:before="70"/>
        <w:rPr>
          <w:rFonts w:ascii="Times New Roman" w:eastAsia="Times New Roman" w:hAnsi="Times New Roman" w:cs="Times New Roman"/>
          <w:sz w:val="20"/>
          <w:szCs w:val="20"/>
        </w:rPr>
      </w:pPr>
    </w:p>
    <w:p w14:paraId="1EECD54A" w14:textId="7EBF4043" w:rsidR="0086238B" w:rsidRDefault="0086238B">
      <w:pPr>
        <w:pBdr>
          <w:top w:val="nil"/>
          <w:left w:val="nil"/>
          <w:bottom w:val="nil"/>
          <w:right w:val="nil"/>
          <w:between w:val="nil"/>
        </w:pBdr>
        <w:tabs>
          <w:tab w:val="left" w:pos="323"/>
        </w:tabs>
        <w:spacing w:before="70"/>
        <w:rPr>
          <w:rFonts w:ascii="Times New Roman" w:eastAsia="Times New Roman" w:hAnsi="Times New Roman" w:cs="Times New Roman"/>
          <w:sz w:val="20"/>
          <w:szCs w:val="20"/>
        </w:rPr>
      </w:pPr>
    </w:p>
    <w:p w14:paraId="0A113604" w14:textId="5151EBAD" w:rsidR="0086238B" w:rsidRDefault="0086238B">
      <w:pPr>
        <w:pBdr>
          <w:top w:val="nil"/>
          <w:left w:val="nil"/>
          <w:bottom w:val="nil"/>
          <w:right w:val="nil"/>
          <w:between w:val="nil"/>
        </w:pBdr>
        <w:tabs>
          <w:tab w:val="left" w:pos="323"/>
        </w:tabs>
        <w:spacing w:before="70"/>
        <w:rPr>
          <w:rFonts w:ascii="Times New Roman" w:eastAsia="Times New Roman" w:hAnsi="Times New Roman" w:cs="Times New Roman"/>
          <w:sz w:val="20"/>
          <w:szCs w:val="20"/>
        </w:rPr>
      </w:pPr>
    </w:p>
    <w:p w14:paraId="4ECB3CD7" w14:textId="65E9DAA5" w:rsidR="0086238B" w:rsidRDefault="0086238B">
      <w:pPr>
        <w:pBdr>
          <w:top w:val="nil"/>
          <w:left w:val="nil"/>
          <w:bottom w:val="nil"/>
          <w:right w:val="nil"/>
          <w:between w:val="nil"/>
        </w:pBdr>
        <w:tabs>
          <w:tab w:val="left" w:pos="323"/>
        </w:tabs>
        <w:spacing w:before="70"/>
        <w:rPr>
          <w:rFonts w:ascii="Times New Roman" w:eastAsia="Times New Roman" w:hAnsi="Times New Roman" w:cs="Times New Roman"/>
          <w:sz w:val="20"/>
          <w:szCs w:val="20"/>
        </w:rPr>
      </w:pPr>
    </w:p>
    <w:p w14:paraId="5775E446" w14:textId="60C346B1" w:rsidR="0086238B" w:rsidRDefault="0086238B">
      <w:pPr>
        <w:pBdr>
          <w:top w:val="nil"/>
          <w:left w:val="nil"/>
          <w:bottom w:val="nil"/>
          <w:right w:val="nil"/>
          <w:between w:val="nil"/>
        </w:pBdr>
        <w:tabs>
          <w:tab w:val="left" w:pos="323"/>
        </w:tabs>
        <w:spacing w:before="70"/>
        <w:rPr>
          <w:rFonts w:ascii="Times New Roman" w:eastAsia="Times New Roman" w:hAnsi="Times New Roman" w:cs="Times New Roman"/>
          <w:sz w:val="20"/>
          <w:szCs w:val="20"/>
        </w:rPr>
      </w:pPr>
    </w:p>
    <w:p w14:paraId="3E7BD868" w14:textId="3029DB09" w:rsidR="0086238B" w:rsidRDefault="0086238B">
      <w:pPr>
        <w:pBdr>
          <w:top w:val="nil"/>
          <w:left w:val="nil"/>
          <w:bottom w:val="nil"/>
          <w:right w:val="nil"/>
          <w:between w:val="nil"/>
        </w:pBdr>
        <w:tabs>
          <w:tab w:val="left" w:pos="323"/>
        </w:tabs>
        <w:spacing w:before="70"/>
        <w:rPr>
          <w:rFonts w:ascii="Times New Roman" w:eastAsia="Times New Roman" w:hAnsi="Times New Roman" w:cs="Times New Roman"/>
          <w:sz w:val="20"/>
          <w:szCs w:val="20"/>
        </w:rPr>
      </w:pPr>
    </w:p>
    <w:p w14:paraId="50C4A629" w14:textId="23274E16" w:rsidR="0086238B" w:rsidRDefault="0086238B">
      <w:pPr>
        <w:pBdr>
          <w:top w:val="nil"/>
          <w:left w:val="nil"/>
          <w:bottom w:val="nil"/>
          <w:right w:val="nil"/>
          <w:between w:val="nil"/>
        </w:pBdr>
        <w:tabs>
          <w:tab w:val="left" w:pos="323"/>
        </w:tabs>
        <w:spacing w:before="70"/>
        <w:rPr>
          <w:rFonts w:ascii="Times New Roman" w:eastAsia="Times New Roman" w:hAnsi="Times New Roman" w:cs="Times New Roman"/>
          <w:sz w:val="20"/>
          <w:szCs w:val="20"/>
        </w:rPr>
      </w:pPr>
    </w:p>
    <w:p w14:paraId="35EB57A4" w14:textId="208E0A84" w:rsidR="0086238B" w:rsidRDefault="0086238B">
      <w:pPr>
        <w:pBdr>
          <w:top w:val="nil"/>
          <w:left w:val="nil"/>
          <w:bottom w:val="nil"/>
          <w:right w:val="nil"/>
          <w:between w:val="nil"/>
        </w:pBdr>
        <w:tabs>
          <w:tab w:val="left" w:pos="323"/>
        </w:tabs>
        <w:spacing w:before="70"/>
        <w:rPr>
          <w:rFonts w:ascii="Times New Roman" w:eastAsia="Times New Roman" w:hAnsi="Times New Roman" w:cs="Times New Roman"/>
          <w:sz w:val="20"/>
          <w:szCs w:val="20"/>
        </w:rPr>
      </w:pPr>
    </w:p>
    <w:p w14:paraId="04363EED" w14:textId="3018BCD3" w:rsidR="0086238B" w:rsidRDefault="0086238B">
      <w:pPr>
        <w:pBdr>
          <w:top w:val="nil"/>
          <w:left w:val="nil"/>
          <w:bottom w:val="nil"/>
          <w:right w:val="nil"/>
          <w:between w:val="nil"/>
        </w:pBdr>
        <w:tabs>
          <w:tab w:val="left" w:pos="323"/>
        </w:tabs>
        <w:spacing w:before="70"/>
        <w:rPr>
          <w:rFonts w:ascii="Times New Roman" w:eastAsia="Times New Roman" w:hAnsi="Times New Roman" w:cs="Times New Roman"/>
          <w:sz w:val="20"/>
          <w:szCs w:val="20"/>
        </w:rPr>
      </w:pPr>
    </w:p>
    <w:p w14:paraId="4010C35E" w14:textId="5E23C962" w:rsidR="0086238B" w:rsidRDefault="0086238B">
      <w:pPr>
        <w:pBdr>
          <w:top w:val="nil"/>
          <w:left w:val="nil"/>
          <w:bottom w:val="nil"/>
          <w:right w:val="nil"/>
          <w:between w:val="nil"/>
        </w:pBdr>
        <w:tabs>
          <w:tab w:val="left" w:pos="323"/>
        </w:tabs>
        <w:spacing w:before="70"/>
        <w:rPr>
          <w:rFonts w:ascii="Times New Roman" w:eastAsia="Times New Roman" w:hAnsi="Times New Roman" w:cs="Times New Roman"/>
          <w:sz w:val="20"/>
          <w:szCs w:val="20"/>
        </w:rPr>
      </w:pPr>
      <w:bookmarkStart w:id="1" w:name="_GoBack"/>
    </w:p>
    <w:bookmarkEnd w:id="1"/>
    <w:p w14:paraId="1DF1A572" w14:textId="77777777" w:rsidR="0086238B" w:rsidRDefault="0086238B">
      <w:pPr>
        <w:pBdr>
          <w:top w:val="nil"/>
          <w:left w:val="nil"/>
          <w:bottom w:val="nil"/>
          <w:right w:val="nil"/>
          <w:between w:val="nil"/>
        </w:pBdr>
        <w:tabs>
          <w:tab w:val="left" w:pos="323"/>
        </w:tabs>
        <w:spacing w:before="70"/>
        <w:rPr>
          <w:rFonts w:ascii="Times New Roman" w:eastAsia="Times New Roman" w:hAnsi="Times New Roman" w:cs="Times New Roman"/>
          <w:sz w:val="20"/>
          <w:szCs w:val="20"/>
        </w:rPr>
      </w:pPr>
    </w:p>
    <w:p w14:paraId="5CEBDDF7" w14:textId="77777777" w:rsidR="00C44FCD" w:rsidRDefault="00C44FCD">
      <w:pPr>
        <w:pBdr>
          <w:top w:val="nil"/>
          <w:left w:val="nil"/>
          <w:bottom w:val="nil"/>
          <w:right w:val="nil"/>
          <w:between w:val="nil"/>
        </w:pBdr>
        <w:tabs>
          <w:tab w:val="left" w:pos="323"/>
        </w:tabs>
        <w:spacing w:before="70"/>
        <w:rPr>
          <w:rFonts w:ascii="Times New Roman" w:eastAsia="Times New Roman" w:hAnsi="Times New Roman" w:cs="Times New Roman"/>
          <w:sz w:val="20"/>
          <w:szCs w:val="20"/>
        </w:rPr>
      </w:pPr>
    </w:p>
    <w:p w14:paraId="5FAF3D0C" w14:textId="77777777" w:rsidR="00C44FCD" w:rsidRDefault="00C44FCD">
      <w:pPr>
        <w:pBdr>
          <w:top w:val="nil"/>
          <w:left w:val="nil"/>
          <w:bottom w:val="nil"/>
          <w:right w:val="nil"/>
          <w:between w:val="nil"/>
        </w:pBdr>
        <w:spacing w:line="204" w:lineRule="auto"/>
        <w:ind w:left="102" w:right="1700"/>
        <w:rPr>
          <w:rFonts w:ascii="Times New Roman" w:eastAsia="Times New Roman" w:hAnsi="Times New Roman" w:cs="Times New Roman"/>
          <w:color w:val="000000"/>
        </w:rPr>
      </w:pPr>
    </w:p>
    <w:p w14:paraId="60C5D9E9" w14:textId="77777777" w:rsidR="00C44FCD" w:rsidRDefault="00C44FCD">
      <w:pPr>
        <w:pBdr>
          <w:top w:val="nil"/>
          <w:left w:val="nil"/>
          <w:bottom w:val="nil"/>
          <w:right w:val="nil"/>
          <w:between w:val="nil"/>
        </w:pBdr>
        <w:spacing w:line="204" w:lineRule="auto"/>
        <w:ind w:left="102" w:right="1700"/>
        <w:rPr>
          <w:rFonts w:ascii="Times New Roman" w:eastAsia="Times New Roman" w:hAnsi="Times New Roman" w:cs="Times New Roman"/>
          <w:color w:val="000000"/>
        </w:rPr>
      </w:pPr>
    </w:p>
    <w:p w14:paraId="2145B6B5" w14:textId="77777777" w:rsidR="00C44FCD" w:rsidRDefault="00C44FCD">
      <w:pPr>
        <w:pBdr>
          <w:top w:val="nil"/>
          <w:left w:val="nil"/>
          <w:bottom w:val="nil"/>
          <w:right w:val="nil"/>
          <w:between w:val="nil"/>
        </w:pBdr>
        <w:spacing w:before="226"/>
        <w:ind w:left="102"/>
        <w:rPr>
          <w:rFonts w:ascii="Times New Roman" w:eastAsia="Times New Roman" w:hAnsi="Times New Roman" w:cs="Times New Roman"/>
          <w:color w:val="000000"/>
        </w:rPr>
      </w:pPr>
    </w:p>
    <w:p w14:paraId="0A7F0949" w14:textId="77777777" w:rsidR="00C44FCD" w:rsidRDefault="00FF36BC">
      <w:pPr>
        <w:pBdr>
          <w:top w:val="nil"/>
          <w:left w:val="nil"/>
          <w:bottom w:val="nil"/>
          <w:right w:val="nil"/>
          <w:between w:val="nil"/>
        </w:pBdr>
        <w:spacing w:before="220"/>
        <w:ind w:right="3879"/>
        <w:jc w:val="center"/>
        <w:rPr>
          <w:rFonts w:ascii="Times New Roman" w:eastAsia="Times New Roman" w:hAnsi="Times New Roman" w:cs="Times New Roman"/>
          <w:color w:val="000000"/>
        </w:rPr>
      </w:pPr>
      <w:r>
        <w:rPr>
          <w:rFonts w:ascii="Times New Roman" w:eastAsia="Times New Roman" w:hAnsi="Times New Roman" w:cs="Times New Roman"/>
          <w:color w:val="000000"/>
        </w:rPr>
        <w:t>Atentamente,</w:t>
      </w:r>
    </w:p>
    <w:p w14:paraId="4693EC97" w14:textId="77777777" w:rsidR="00C44FCD" w:rsidRDefault="00C44FCD">
      <w:pPr>
        <w:pBdr>
          <w:top w:val="nil"/>
          <w:left w:val="nil"/>
          <w:bottom w:val="nil"/>
          <w:right w:val="nil"/>
          <w:between w:val="nil"/>
        </w:pBdr>
        <w:spacing w:before="220"/>
        <w:ind w:right="3879"/>
        <w:rPr>
          <w:color w:val="000000"/>
        </w:rPr>
      </w:pPr>
    </w:p>
    <w:p w14:paraId="33E84A1A" w14:textId="66C73532" w:rsidR="00C44FCD" w:rsidRDefault="004F162C">
      <w:pPr>
        <w:pBdr>
          <w:top w:val="nil"/>
          <w:left w:val="nil"/>
          <w:bottom w:val="nil"/>
          <w:right w:val="nil"/>
          <w:between w:val="nil"/>
        </w:pBdr>
        <w:spacing w:before="220"/>
        <w:ind w:right="3879"/>
        <w:rPr>
          <w:color w:val="000000"/>
        </w:rPr>
      </w:pPr>
      <w:r>
        <w:rPr>
          <w:noProof/>
          <w:lang w:val="es-PE"/>
        </w:rPr>
        <w:drawing>
          <wp:anchor distT="0" distB="0" distL="0" distR="0" simplePos="0" relativeHeight="251658240" behindDoc="0" locked="0" layoutInCell="1" hidden="0" allowOverlap="1" wp14:anchorId="326967A3" wp14:editId="7B52363A">
            <wp:simplePos x="0" y="0"/>
            <wp:positionH relativeFrom="column">
              <wp:posOffset>1275484</wp:posOffset>
            </wp:positionH>
            <wp:positionV relativeFrom="paragraph">
              <wp:posOffset>155583</wp:posOffset>
            </wp:positionV>
            <wp:extent cx="2921329" cy="105473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0"/>
                    <a:srcRect/>
                    <a:stretch>
                      <a:fillRect/>
                    </a:stretch>
                  </pic:blipFill>
                  <pic:spPr>
                    <a:xfrm>
                      <a:off x="0" y="0"/>
                      <a:ext cx="2921329" cy="1054735"/>
                    </a:xfrm>
                    <a:prstGeom prst="rect">
                      <a:avLst/>
                    </a:prstGeom>
                    <a:ln/>
                  </pic:spPr>
                </pic:pic>
              </a:graphicData>
            </a:graphic>
            <wp14:sizeRelH relativeFrom="margin">
              <wp14:pctWidth>0</wp14:pctWidth>
            </wp14:sizeRelH>
          </wp:anchor>
        </w:drawing>
      </w:r>
    </w:p>
    <w:p w14:paraId="716F9AD6" w14:textId="47D2A551" w:rsidR="00C44FCD" w:rsidRDefault="00C44FCD">
      <w:pPr>
        <w:pBdr>
          <w:top w:val="nil"/>
          <w:left w:val="nil"/>
          <w:bottom w:val="nil"/>
          <w:right w:val="nil"/>
          <w:between w:val="nil"/>
        </w:pBdr>
        <w:spacing w:before="220"/>
        <w:ind w:right="3879"/>
        <w:rPr>
          <w:color w:val="000000"/>
        </w:rPr>
      </w:pPr>
    </w:p>
    <w:p w14:paraId="61940A50" w14:textId="435B36CC" w:rsidR="00C44FCD" w:rsidRDefault="00C44FCD">
      <w:pPr>
        <w:pBdr>
          <w:top w:val="nil"/>
          <w:left w:val="nil"/>
          <w:bottom w:val="nil"/>
          <w:right w:val="nil"/>
          <w:between w:val="nil"/>
        </w:pBdr>
        <w:spacing w:before="9"/>
        <w:rPr>
          <w:color w:val="000000"/>
          <w:sz w:val="18"/>
          <w:szCs w:val="18"/>
        </w:rPr>
      </w:pPr>
    </w:p>
    <w:p w14:paraId="631E2061" w14:textId="77777777" w:rsidR="004F162C" w:rsidRDefault="00FF36BC">
      <w:pPr>
        <w:pStyle w:val="Ttulo1"/>
        <w:spacing w:before="182" w:line="196" w:lineRule="auto"/>
        <w:ind w:left="3004" w:right="3879"/>
        <w:jc w:val="center"/>
        <w:rPr>
          <w:rFonts w:ascii="Verdana" w:eastAsia="Verdana" w:hAnsi="Verdana" w:cs="Verdana"/>
          <w:sz w:val="28"/>
          <w:szCs w:val="28"/>
          <w:u w:val="single"/>
        </w:rPr>
      </w:pPr>
      <w:r>
        <w:rPr>
          <w:rFonts w:ascii="Times New Roman" w:eastAsia="Times New Roman" w:hAnsi="Times New Roman" w:cs="Times New Roman"/>
          <w:b w:val="0"/>
          <w:u w:val="single"/>
        </w:rPr>
        <w:t xml:space="preserve"> </w:t>
      </w:r>
      <w:r>
        <w:rPr>
          <w:rFonts w:ascii="Verdana" w:eastAsia="Verdana" w:hAnsi="Verdana" w:cs="Verdana"/>
          <w:sz w:val="28"/>
          <w:szCs w:val="28"/>
          <w:u w:val="single"/>
        </w:rPr>
        <w:t>……………………</w:t>
      </w:r>
    </w:p>
    <w:p w14:paraId="4757FE08" w14:textId="74C82A43" w:rsidR="004F162C" w:rsidRDefault="00FF36BC" w:rsidP="004F162C">
      <w:pPr>
        <w:pStyle w:val="Ttulo1"/>
        <w:spacing w:before="182" w:line="196" w:lineRule="auto"/>
        <w:ind w:left="3004" w:right="3494"/>
        <w:jc w:val="center"/>
        <w:rPr>
          <w:sz w:val="28"/>
          <w:szCs w:val="28"/>
        </w:rPr>
      </w:pPr>
      <w:r>
        <w:rPr>
          <w:sz w:val="28"/>
          <w:szCs w:val="28"/>
        </w:rPr>
        <w:t>Jorge Abel Ruiz</w:t>
      </w:r>
      <w:r w:rsidR="004F162C">
        <w:rPr>
          <w:sz w:val="28"/>
          <w:szCs w:val="28"/>
        </w:rPr>
        <w:t xml:space="preserve"> </w:t>
      </w:r>
      <w:r>
        <w:rPr>
          <w:sz w:val="28"/>
          <w:szCs w:val="28"/>
        </w:rPr>
        <w:t xml:space="preserve">Bautista </w:t>
      </w:r>
    </w:p>
    <w:p w14:paraId="075C8199" w14:textId="7F2D52B1" w:rsidR="00C44FCD" w:rsidRDefault="00FF36BC">
      <w:pPr>
        <w:pStyle w:val="Ttulo1"/>
        <w:spacing w:before="182" w:line="196" w:lineRule="auto"/>
        <w:ind w:left="3004" w:right="3879"/>
        <w:jc w:val="center"/>
        <w:rPr>
          <w:sz w:val="28"/>
          <w:szCs w:val="28"/>
        </w:rPr>
      </w:pPr>
      <w:r>
        <w:rPr>
          <w:sz w:val="28"/>
          <w:szCs w:val="28"/>
        </w:rPr>
        <w:t>Gerente</w:t>
      </w:r>
      <w:r w:rsidR="004F162C">
        <w:rPr>
          <w:sz w:val="28"/>
          <w:szCs w:val="28"/>
        </w:rPr>
        <w:t xml:space="preserve"> General</w:t>
      </w:r>
    </w:p>
    <w:p w14:paraId="02E47898" w14:textId="77777777" w:rsidR="00C44FCD" w:rsidRDefault="00C44FCD" w:rsidP="004F162C">
      <w:pPr>
        <w:pStyle w:val="Ttulo1"/>
        <w:spacing w:before="182" w:line="196" w:lineRule="auto"/>
        <w:ind w:left="2410" w:right="3211"/>
        <w:jc w:val="center"/>
        <w:rPr>
          <w:sz w:val="28"/>
          <w:szCs w:val="28"/>
        </w:rPr>
      </w:pPr>
    </w:p>
    <w:p w14:paraId="11F30091" w14:textId="77777777" w:rsidR="00C44FCD" w:rsidRDefault="00C44FCD">
      <w:pPr>
        <w:tabs>
          <w:tab w:val="left" w:pos="237"/>
        </w:tabs>
        <w:spacing w:line="201" w:lineRule="auto"/>
        <w:ind w:right="1009"/>
      </w:pPr>
    </w:p>
    <w:sectPr w:rsidR="00C44FCD">
      <w:headerReference w:type="default" r:id="rId31"/>
      <w:footerReference w:type="default" r:id="rId32"/>
      <w:pgSz w:w="11910" w:h="16840"/>
      <w:pgMar w:top="2440" w:right="720" w:bottom="1900" w:left="1600" w:header="816" w:footer="1705"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9AB7A" w14:textId="77777777" w:rsidR="00B20D41" w:rsidRDefault="00B20D41">
      <w:r>
        <w:separator/>
      </w:r>
    </w:p>
  </w:endnote>
  <w:endnote w:type="continuationSeparator" w:id="0">
    <w:p w14:paraId="4B5B1000" w14:textId="77777777" w:rsidR="00B20D41" w:rsidRDefault="00B2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XGyreAdvento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F3D75" w14:textId="77777777" w:rsidR="00C44FCD" w:rsidRDefault="00C44FCD">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FB409" w14:textId="77777777" w:rsidR="00B20D41" w:rsidRDefault="00B20D41">
      <w:r>
        <w:separator/>
      </w:r>
    </w:p>
  </w:footnote>
  <w:footnote w:type="continuationSeparator" w:id="0">
    <w:p w14:paraId="682D0B63" w14:textId="77777777" w:rsidR="00B20D41" w:rsidRDefault="00B2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626C" w14:textId="0D266BA9" w:rsidR="007F210F" w:rsidRDefault="007F210F">
    <w:pPr>
      <w:pBdr>
        <w:top w:val="nil"/>
        <w:left w:val="nil"/>
        <w:bottom w:val="nil"/>
        <w:right w:val="nil"/>
        <w:between w:val="nil"/>
      </w:pBdr>
      <w:spacing w:line="14" w:lineRule="auto"/>
      <w:rPr>
        <w:noProof/>
        <w:color w:val="000000"/>
      </w:rPr>
    </w:pPr>
    <w:r>
      <w:rPr>
        <w:noProof/>
        <w:color w:val="000000"/>
        <w:lang w:val="es-PE"/>
      </w:rPr>
      <w:drawing>
        <wp:anchor distT="0" distB="0" distL="0" distR="0" simplePos="0" relativeHeight="251658240" behindDoc="0" locked="0" layoutInCell="1" hidden="0" allowOverlap="1" wp14:anchorId="3A8CA083" wp14:editId="5B6FA9FB">
          <wp:simplePos x="0" y="0"/>
          <wp:positionH relativeFrom="page">
            <wp:posOffset>2353945</wp:posOffset>
          </wp:positionH>
          <wp:positionV relativeFrom="page">
            <wp:posOffset>203835</wp:posOffset>
          </wp:positionV>
          <wp:extent cx="2384396" cy="1035861"/>
          <wp:effectExtent l="0" t="0" r="0" b="0"/>
          <wp:wrapSquare wrapText="bothSides" distT="0" distB="0" distL="0" distR="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384396" cy="1035861"/>
                  </a:xfrm>
                  <a:prstGeom prst="rect">
                    <a:avLst/>
                  </a:prstGeom>
                  <a:ln/>
                </pic:spPr>
              </pic:pic>
            </a:graphicData>
          </a:graphic>
        </wp:anchor>
      </w:drawing>
    </w:r>
  </w:p>
  <w:p w14:paraId="5C21B728" w14:textId="2FAFFA69" w:rsidR="00C44FCD" w:rsidRDefault="00C44FCD">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9A3"/>
    <w:multiLevelType w:val="hybridMultilevel"/>
    <w:tmpl w:val="60AE7A9A"/>
    <w:lvl w:ilvl="0" w:tplc="32FC5DF8">
      <w:start w:val="5"/>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D5529A"/>
    <w:multiLevelType w:val="multilevel"/>
    <w:tmpl w:val="55C04014"/>
    <w:lvl w:ilvl="0">
      <w:start w:val="1"/>
      <w:numFmt w:val="decimal"/>
      <w:lvlText w:val="%1"/>
      <w:lvlJc w:val="left"/>
      <w:pPr>
        <w:ind w:left="405" w:hanging="405"/>
      </w:pPr>
      <w:rPr>
        <w:rFonts w:hint="default"/>
      </w:rPr>
    </w:lvl>
    <w:lvl w:ilvl="1">
      <w:start w:val="1"/>
      <w:numFmt w:val="decimal"/>
      <w:lvlText w:val="%1.%2"/>
      <w:lvlJc w:val="left"/>
      <w:pPr>
        <w:ind w:left="500" w:hanging="405"/>
      </w:pPr>
      <w:rPr>
        <w:rFonts w:hint="default"/>
      </w:rPr>
    </w:lvl>
    <w:lvl w:ilvl="2">
      <w:start w:val="1"/>
      <w:numFmt w:val="decimal"/>
      <w:lvlText w:val="%1.%2.%3"/>
      <w:lvlJc w:val="left"/>
      <w:pPr>
        <w:ind w:left="595" w:hanging="405"/>
      </w:pPr>
      <w:rPr>
        <w:rFonts w:hint="default"/>
      </w:rPr>
    </w:lvl>
    <w:lvl w:ilvl="3">
      <w:start w:val="1"/>
      <w:numFmt w:val="decimal"/>
      <w:lvlText w:val="%1.%2.%3.%4"/>
      <w:lvlJc w:val="left"/>
      <w:pPr>
        <w:ind w:left="1005" w:hanging="720"/>
      </w:pPr>
      <w:rPr>
        <w:rFonts w:hint="default"/>
      </w:rPr>
    </w:lvl>
    <w:lvl w:ilvl="4">
      <w:start w:val="1"/>
      <w:numFmt w:val="decimal"/>
      <w:lvlText w:val="%1.%2.%3.%4.%5"/>
      <w:lvlJc w:val="left"/>
      <w:pPr>
        <w:ind w:left="1100" w:hanging="720"/>
      </w:pPr>
      <w:rPr>
        <w:rFonts w:hint="default"/>
      </w:rPr>
    </w:lvl>
    <w:lvl w:ilvl="5">
      <w:start w:val="1"/>
      <w:numFmt w:val="decimal"/>
      <w:lvlText w:val="%1.%2.%3.%4.%5.%6"/>
      <w:lvlJc w:val="left"/>
      <w:pPr>
        <w:ind w:left="1555" w:hanging="1080"/>
      </w:pPr>
      <w:rPr>
        <w:rFonts w:hint="default"/>
      </w:rPr>
    </w:lvl>
    <w:lvl w:ilvl="6">
      <w:start w:val="1"/>
      <w:numFmt w:val="decimal"/>
      <w:lvlText w:val="%1.%2.%3.%4.%5.%6.%7"/>
      <w:lvlJc w:val="left"/>
      <w:pPr>
        <w:ind w:left="1650" w:hanging="1080"/>
      </w:pPr>
      <w:rPr>
        <w:rFonts w:hint="default"/>
      </w:rPr>
    </w:lvl>
    <w:lvl w:ilvl="7">
      <w:start w:val="1"/>
      <w:numFmt w:val="decimal"/>
      <w:lvlText w:val="%1.%2.%3.%4.%5.%6.%7.%8"/>
      <w:lvlJc w:val="left"/>
      <w:pPr>
        <w:ind w:left="1745" w:hanging="1080"/>
      </w:pPr>
      <w:rPr>
        <w:rFonts w:hint="default"/>
      </w:rPr>
    </w:lvl>
    <w:lvl w:ilvl="8">
      <w:start w:val="1"/>
      <w:numFmt w:val="decimal"/>
      <w:lvlText w:val="%1.%2.%3.%4.%5.%6.%7.%8.%9"/>
      <w:lvlJc w:val="left"/>
      <w:pPr>
        <w:ind w:left="2200" w:hanging="1440"/>
      </w:pPr>
      <w:rPr>
        <w:rFonts w:hint="default"/>
      </w:rPr>
    </w:lvl>
  </w:abstractNum>
  <w:abstractNum w:abstractNumId="2" w15:restartNumberingAfterBreak="0">
    <w:nsid w:val="2EF7773D"/>
    <w:multiLevelType w:val="multilevel"/>
    <w:tmpl w:val="518A8872"/>
    <w:lvl w:ilvl="0">
      <w:start w:val="2"/>
      <w:numFmt w:val="decimal"/>
      <w:lvlText w:val="%1"/>
      <w:lvlJc w:val="left"/>
      <w:pPr>
        <w:ind w:left="585" w:hanging="315"/>
      </w:pPr>
    </w:lvl>
    <w:lvl w:ilvl="1">
      <w:start w:val="1"/>
      <w:numFmt w:val="decimal"/>
      <w:lvlText w:val="%1.%2."/>
      <w:lvlJc w:val="left"/>
      <w:pPr>
        <w:ind w:left="599" w:hanging="315"/>
      </w:pPr>
      <w:rPr>
        <w:rFonts w:ascii="Times New Roman" w:eastAsia="Times New Roman" w:hAnsi="Times New Roman" w:cs="Times New Roman"/>
        <w:sz w:val="18"/>
        <w:szCs w:val="18"/>
      </w:rPr>
    </w:lvl>
    <w:lvl w:ilvl="2">
      <w:start w:val="1"/>
      <w:numFmt w:val="bullet"/>
      <w:lvlText w:val="•"/>
      <w:lvlJc w:val="left"/>
      <w:pPr>
        <w:ind w:left="2504" w:hanging="315"/>
      </w:pPr>
    </w:lvl>
    <w:lvl w:ilvl="3">
      <w:start w:val="1"/>
      <w:numFmt w:val="bullet"/>
      <w:lvlText w:val="•"/>
      <w:lvlJc w:val="left"/>
      <w:pPr>
        <w:ind w:left="3466" w:hanging="315"/>
      </w:pPr>
    </w:lvl>
    <w:lvl w:ilvl="4">
      <w:start w:val="1"/>
      <w:numFmt w:val="bullet"/>
      <w:lvlText w:val="•"/>
      <w:lvlJc w:val="left"/>
      <w:pPr>
        <w:ind w:left="4428" w:hanging="315"/>
      </w:pPr>
    </w:lvl>
    <w:lvl w:ilvl="5">
      <w:start w:val="1"/>
      <w:numFmt w:val="bullet"/>
      <w:lvlText w:val="•"/>
      <w:lvlJc w:val="left"/>
      <w:pPr>
        <w:ind w:left="5390" w:hanging="315"/>
      </w:pPr>
    </w:lvl>
    <w:lvl w:ilvl="6">
      <w:start w:val="1"/>
      <w:numFmt w:val="bullet"/>
      <w:lvlText w:val="•"/>
      <w:lvlJc w:val="left"/>
      <w:pPr>
        <w:ind w:left="6352" w:hanging="315"/>
      </w:pPr>
    </w:lvl>
    <w:lvl w:ilvl="7">
      <w:start w:val="1"/>
      <w:numFmt w:val="bullet"/>
      <w:lvlText w:val="•"/>
      <w:lvlJc w:val="left"/>
      <w:pPr>
        <w:ind w:left="7314" w:hanging="315"/>
      </w:pPr>
    </w:lvl>
    <w:lvl w:ilvl="8">
      <w:start w:val="1"/>
      <w:numFmt w:val="bullet"/>
      <w:lvlText w:val="•"/>
      <w:lvlJc w:val="left"/>
      <w:pPr>
        <w:ind w:left="8276" w:hanging="315"/>
      </w:pPr>
    </w:lvl>
  </w:abstractNum>
  <w:abstractNum w:abstractNumId="3" w15:restartNumberingAfterBreak="0">
    <w:nsid w:val="32D308EE"/>
    <w:multiLevelType w:val="multilevel"/>
    <w:tmpl w:val="8D880960"/>
    <w:lvl w:ilvl="0">
      <w:start w:val="1"/>
      <w:numFmt w:val="decimal"/>
      <w:lvlText w:val="%1."/>
      <w:lvlJc w:val="left"/>
      <w:pPr>
        <w:ind w:left="360" w:hanging="360"/>
      </w:pPr>
      <w:rPr>
        <w:rFonts w:hint="default"/>
      </w:rPr>
    </w:lvl>
    <w:lvl w:ilvl="1">
      <w:start w:val="1"/>
      <w:numFmt w:val="decimal"/>
      <w:lvlText w:val="%1.%2."/>
      <w:lvlJc w:val="left"/>
      <w:pPr>
        <w:ind w:left="550" w:hanging="360"/>
      </w:pPr>
      <w:rPr>
        <w:rFonts w:hint="default"/>
      </w:rPr>
    </w:lvl>
    <w:lvl w:ilvl="2">
      <w:start w:val="1"/>
      <w:numFmt w:val="decimal"/>
      <w:lvlText w:val="%1.%2.%3."/>
      <w:lvlJc w:val="left"/>
      <w:pPr>
        <w:ind w:left="1100" w:hanging="720"/>
      </w:pPr>
      <w:rPr>
        <w:rFonts w:hint="default"/>
      </w:rPr>
    </w:lvl>
    <w:lvl w:ilvl="3">
      <w:start w:val="1"/>
      <w:numFmt w:val="decimal"/>
      <w:lvlText w:val="%1.%2.%3.%4."/>
      <w:lvlJc w:val="left"/>
      <w:pPr>
        <w:ind w:left="1290" w:hanging="720"/>
      </w:pPr>
      <w:rPr>
        <w:rFonts w:hint="default"/>
      </w:rPr>
    </w:lvl>
    <w:lvl w:ilvl="4">
      <w:start w:val="1"/>
      <w:numFmt w:val="decimal"/>
      <w:lvlText w:val="%1.%2.%3.%4.%5."/>
      <w:lvlJc w:val="left"/>
      <w:pPr>
        <w:ind w:left="1480" w:hanging="720"/>
      </w:pPr>
      <w:rPr>
        <w:rFonts w:hint="default"/>
      </w:rPr>
    </w:lvl>
    <w:lvl w:ilvl="5">
      <w:start w:val="1"/>
      <w:numFmt w:val="decimal"/>
      <w:lvlText w:val="%1.%2.%3.%4.%5.%6."/>
      <w:lvlJc w:val="left"/>
      <w:pPr>
        <w:ind w:left="2030" w:hanging="1080"/>
      </w:pPr>
      <w:rPr>
        <w:rFonts w:hint="default"/>
      </w:rPr>
    </w:lvl>
    <w:lvl w:ilvl="6">
      <w:start w:val="1"/>
      <w:numFmt w:val="decimal"/>
      <w:lvlText w:val="%1.%2.%3.%4.%5.%6.%7."/>
      <w:lvlJc w:val="left"/>
      <w:pPr>
        <w:ind w:left="2220" w:hanging="1080"/>
      </w:pPr>
      <w:rPr>
        <w:rFonts w:hint="default"/>
      </w:rPr>
    </w:lvl>
    <w:lvl w:ilvl="7">
      <w:start w:val="1"/>
      <w:numFmt w:val="decimal"/>
      <w:lvlText w:val="%1.%2.%3.%4.%5.%6.%7.%8."/>
      <w:lvlJc w:val="left"/>
      <w:pPr>
        <w:ind w:left="2410" w:hanging="1080"/>
      </w:pPr>
      <w:rPr>
        <w:rFonts w:hint="default"/>
      </w:rPr>
    </w:lvl>
    <w:lvl w:ilvl="8">
      <w:start w:val="1"/>
      <w:numFmt w:val="decimal"/>
      <w:lvlText w:val="%1.%2.%3.%4.%5.%6.%7.%8.%9."/>
      <w:lvlJc w:val="left"/>
      <w:pPr>
        <w:ind w:left="2960" w:hanging="1440"/>
      </w:pPr>
      <w:rPr>
        <w:rFonts w:hint="default"/>
      </w:rPr>
    </w:lvl>
  </w:abstractNum>
  <w:abstractNum w:abstractNumId="4" w15:restartNumberingAfterBreak="0">
    <w:nsid w:val="36B44C8C"/>
    <w:multiLevelType w:val="hybridMultilevel"/>
    <w:tmpl w:val="93245414"/>
    <w:lvl w:ilvl="0" w:tplc="2B827380">
      <w:start w:val="2"/>
      <w:numFmt w:val="bullet"/>
      <w:lvlText w:val="-"/>
      <w:lvlJc w:val="left"/>
      <w:pPr>
        <w:ind w:left="720" w:hanging="360"/>
      </w:pPr>
      <w:rPr>
        <w:rFonts w:ascii="Times New Roman" w:eastAsia="Times New Roman" w:hAnsi="Times New Roman" w:cs="Times New Roman" w:hint="default"/>
        <w:color w:val="000000"/>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B297A03"/>
    <w:multiLevelType w:val="multilevel"/>
    <w:tmpl w:val="5540F46A"/>
    <w:lvl w:ilvl="0">
      <w:start w:val="1"/>
      <w:numFmt w:val="upperRoman"/>
      <w:lvlText w:val="%1."/>
      <w:lvlJc w:val="left"/>
      <w:pPr>
        <w:ind w:left="2288" w:hanging="161"/>
      </w:pPr>
      <w:rPr>
        <w:rFonts w:ascii="Times New Roman" w:eastAsia="Times New Roman" w:hAnsi="Times New Roman" w:cs="Times New Roman"/>
        <w:b/>
        <w:sz w:val="18"/>
        <w:szCs w:val="18"/>
      </w:rPr>
    </w:lvl>
    <w:lvl w:ilvl="1">
      <w:start w:val="1"/>
      <w:numFmt w:val="bullet"/>
      <w:lvlText w:val="•"/>
      <w:lvlJc w:val="left"/>
      <w:pPr>
        <w:ind w:left="1308" w:hanging="160"/>
      </w:pPr>
    </w:lvl>
    <w:lvl w:ilvl="2">
      <w:start w:val="1"/>
      <w:numFmt w:val="bullet"/>
      <w:lvlText w:val="•"/>
      <w:lvlJc w:val="left"/>
      <w:pPr>
        <w:ind w:left="2296" w:hanging="161"/>
      </w:pPr>
    </w:lvl>
    <w:lvl w:ilvl="3">
      <w:start w:val="1"/>
      <w:numFmt w:val="bullet"/>
      <w:lvlText w:val="•"/>
      <w:lvlJc w:val="left"/>
      <w:pPr>
        <w:ind w:left="3284" w:hanging="161"/>
      </w:pPr>
    </w:lvl>
    <w:lvl w:ilvl="4">
      <w:start w:val="1"/>
      <w:numFmt w:val="bullet"/>
      <w:lvlText w:val="•"/>
      <w:lvlJc w:val="left"/>
      <w:pPr>
        <w:ind w:left="4272" w:hanging="161"/>
      </w:pPr>
    </w:lvl>
    <w:lvl w:ilvl="5">
      <w:start w:val="1"/>
      <w:numFmt w:val="bullet"/>
      <w:lvlText w:val="•"/>
      <w:lvlJc w:val="left"/>
      <w:pPr>
        <w:ind w:left="5260" w:hanging="161"/>
      </w:pPr>
    </w:lvl>
    <w:lvl w:ilvl="6">
      <w:start w:val="1"/>
      <w:numFmt w:val="bullet"/>
      <w:lvlText w:val="•"/>
      <w:lvlJc w:val="left"/>
      <w:pPr>
        <w:ind w:left="6248" w:hanging="161"/>
      </w:pPr>
    </w:lvl>
    <w:lvl w:ilvl="7">
      <w:start w:val="1"/>
      <w:numFmt w:val="bullet"/>
      <w:lvlText w:val="•"/>
      <w:lvlJc w:val="left"/>
      <w:pPr>
        <w:ind w:left="7236" w:hanging="161"/>
      </w:pPr>
    </w:lvl>
    <w:lvl w:ilvl="8">
      <w:start w:val="1"/>
      <w:numFmt w:val="bullet"/>
      <w:lvlText w:val="•"/>
      <w:lvlJc w:val="left"/>
      <w:pPr>
        <w:ind w:left="8224" w:hanging="161"/>
      </w:pPr>
    </w:lvl>
  </w:abstractNum>
  <w:abstractNum w:abstractNumId="6" w15:restartNumberingAfterBreak="0">
    <w:nsid w:val="5E774B35"/>
    <w:multiLevelType w:val="multilevel"/>
    <w:tmpl w:val="008C5E8A"/>
    <w:lvl w:ilvl="0">
      <w:start w:val="1"/>
      <w:numFmt w:val="bullet"/>
      <w:lvlText w:val="-"/>
      <w:lvlJc w:val="left"/>
      <w:pPr>
        <w:ind w:left="100" w:hanging="224"/>
      </w:pPr>
      <w:rPr>
        <w:rFonts w:ascii="Times New Roman" w:eastAsia="Times New Roman" w:hAnsi="Times New Roman" w:cs="Times New Roman"/>
        <w:sz w:val="20"/>
        <w:szCs w:val="20"/>
      </w:rPr>
    </w:lvl>
    <w:lvl w:ilvl="1">
      <w:start w:val="1"/>
      <w:numFmt w:val="bullet"/>
      <w:lvlText w:val="•"/>
      <w:lvlJc w:val="left"/>
      <w:pPr>
        <w:ind w:left="1110" w:hanging="224"/>
      </w:pPr>
    </w:lvl>
    <w:lvl w:ilvl="2">
      <w:start w:val="1"/>
      <w:numFmt w:val="bullet"/>
      <w:lvlText w:val="•"/>
      <w:lvlJc w:val="left"/>
      <w:pPr>
        <w:ind w:left="2120" w:hanging="224"/>
      </w:pPr>
    </w:lvl>
    <w:lvl w:ilvl="3">
      <w:start w:val="1"/>
      <w:numFmt w:val="bullet"/>
      <w:lvlText w:val="•"/>
      <w:lvlJc w:val="left"/>
      <w:pPr>
        <w:ind w:left="3130" w:hanging="224"/>
      </w:pPr>
    </w:lvl>
    <w:lvl w:ilvl="4">
      <w:start w:val="1"/>
      <w:numFmt w:val="bullet"/>
      <w:lvlText w:val="•"/>
      <w:lvlJc w:val="left"/>
      <w:pPr>
        <w:ind w:left="4140" w:hanging="224"/>
      </w:pPr>
    </w:lvl>
    <w:lvl w:ilvl="5">
      <w:start w:val="1"/>
      <w:numFmt w:val="bullet"/>
      <w:lvlText w:val="•"/>
      <w:lvlJc w:val="left"/>
      <w:pPr>
        <w:ind w:left="5150" w:hanging="224"/>
      </w:pPr>
    </w:lvl>
    <w:lvl w:ilvl="6">
      <w:start w:val="1"/>
      <w:numFmt w:val="bullet"/>
      <w:lvlText w:val="•"/>
      <w:lvlJc w:val="left"/>
      <w:pPr>
        <w:ind w:left="6160" w:hanging="224"/>
      </w:pPr>
    </w:lvl>
    <w:lvl w:ilvl="7">
      <w:start w:val="1"/>
      <w:numFmt w:val="bullet"/>
      <w:lvlText w:val="•"/>
      <w:lvlJc w:val="left"/>
      <w:pPr>
        <w:ind w:left="7170" w:hanging="224"/>
      </w:pPr>
    </w:lvl>
    <w:lvl w:ilvl="8">
      <w:start w:val="1"/>
      <w:numFmt w:val="bullet"/>
      <w:lvlText w:val="•"/>
      <w:lvlJc w:val="left"/>
      <w:pPr>
        <w:ind w:left="8180" w:hanging="224"/>
      </w:pPr>
    </w:lvl>
  </w:abstractNum>
  <w:num w:numId="1">
    <w:abstractNumId w:val="6"/>
  </w:num>
  <w:num w:numId="2">
    <w:abstractNumId w:val="2"/>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FCD"/>
    <w:rsid w:val="00005C4D"/>
    <w:rsid w:val="000702BD"/>
    <w:rsid w:val="000C3D6F"/>
    <w:rsid w:val="00125B50"/>
    <w:rsid w:val="00207D2D"/>
    <w:rsid w:val="0021153F"/>
    <w:rsid w:val="0028194B"/>
    <w:rsid w:val="00285EDD"/>
    <w:rsid w:val="002963CD"/>
    <w:rsid w:val="00356822"/>
    <w:rsid w:val="00474779"/>
    <w:rsid w:val="004F162C"/>
    <w:rsid w:val="00504FE5"/>
    <w:rsid w:val="00693EB0"/>
    <w:rsid w:val="006B69B9"/>
    <w:rsid w:val="006C31EF"/>
    <w:rsid w:val="006D6C03"/>
    <w:rsid w:val="00710DAF"/>
    <w:rsid w:val="00776160"/>
    <w:rsid w:val="007F210F"/>
    <w:rsid w:val="0086238B"/>
    <w:rsid w:val="00911D73"/>
    <w:rsid w:val="00987DBE"/>
    <w:rsid w:val="009F579E"/>
    <w:rsid w:val="00A07C60"/>
    <w:rsid w:val="00A106A0"/>
    <w:rsid w:val="00B20D41"/>
    <w:rsid w:val="00C44FCD"/>
    <w:rsid w:val="00C4571F"/>
    <w:rsid w:val="00C63288"/>
    <w:rsid w:val="00CF6FCF"/>
    <w:rsid w:val="00D31278"/>
    <w:rsid w:val="00DA1EBD"/>
    <w:rsid w:val="00DE2E39"/>
    <w:rsid w:val="00E469D0"/>
    <w:rsid w:val="00E948F7"/>
    <w:rsid w:val="00EB6212"/>
    <w:rsid w:val="00EF00CF"/>
    <w:rsid w:val="00F714F9"/>
    <w:rsid w:val="00FF36B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F17E"/>
  <w15:docId w15:val="{BAA55D08-54D8-4C7E-82A1-2AD76DC8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eXGyreAdventor" w:eastAsia="TeXGyreAdventor" w:hAnsi="TeXGyreAdventor" w:cs="TeXGyreAdventor"/>
        <w:sz w:val="22"/>
        <w:szCs w:val="22"/>
        <w:lang w:val="es-ES" w:eastAsia="es-P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4F"/>
  </w:style>
  <w:style w:type="paragraph" w:styleId="Ttulo1">
    <w:name w:val="heading 1"/>
    <w:basedOn w:val="Normal"/>
    <w:uiPriority w:val="9"/>
    <w:qFormat/>
    <w:pPr>
      <w:spacing w:before="201"/>
      <w:ind w:left="102"/>
      <w:outlineLvl w:val="0"/>
    </w:pPr>
    <w:rPr>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102"/>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CC37AA"/>
    <w:rPr>
      <w:sz w:val="16"/>
      <w:szCs w:val="16"/>
    </w:rPr>
  </w:style>
  <w:style w:type="paragraph" w:styleId="Textocomentario">
    <w:name w:val="annotation text"/>
    <w:basedOn w:val="Normal"/>
    <w:link w:val="TextocomentarioCar"/>
    <w:uiPriority w:val="99"/>
    <w:semiHidden/>
    <w:unhideWhenUsed/>
    <w:rsid w:val="00CC37AA"/>
    <w:rPr>
      <w:sz w:val="20"/>
      <w:szCs w:val="20"/>
    </w:rPr>
  </w:style>
  <w:style w:type="character" w:customStyle="1" w:styleId="TextocomentarioCar">
    <w:name w:val="Texto comentario Car"/>
    <w:basedOn w:val="Fuentedeprrafopredeter"/>
    <w:link w:val="Textocomentario"/>
    <w:uiPriority w:val="99"/>
    <w:semiHidden/>
    <w:rsid w:val="00CC37AA"/>
    <w:rPr>
      <w:rFonts w:ascii="TeXGyreAdventor" w:eastAsia="TeXGyreAdventor" w:hAnsi="TeXGyreAdventor" w:cs="TeXGyreAdventor"/>
      <w:sz w:val="20"/>
      <w:szCs w:val="20"/>
      <w:lang w:val="es-ES"/>
    </w:rPr>
  </w:style>
  <w:style w:type="paragraph" w:styleId="Asuntodelcomentario">
    <w:name w:val="annotation subject"/>
    <w:basedOn w:val="Textocomentario"/>
    <w:next w:val="Textocomentario"/>
    <w:link w:val="AsuntodelcomentarioCar"/>
    <w:uiPriority w:val="99"/>
    <w:semiHidden/>
    <w:unhideWhenUsed/>
    <w:rsid w:val="00CC37AA"/>
    <w:rPr>
      <w:b/>
      <w:bCs/>
    </w:rPr>
  </w:style>
  <w:style w:type="character" w:customStyle="1" w:styleId="AsuntodelcomentarioCar">
    <w:name w:val="Asunto del comentario Car"/>
    <w:basedOn w:val="TextocomentarioCar"/>
    <w:link w:val="Asuntodelcomentario"/>
    <w:uiPriority w:val="99"/>
    <w:semiHidden/>
    <w:rsid w:val="00CC37AA"/>
    <w:rPr>
      <w:rFonts w:ascii="TeXGyreAdventor" w:eastAsia="TeXGyreAdventor" w:hAnsi="TeXGyreAdventor" w:cs="TeXGyreAdventor"/>
      <w:b/>
      <w:bCs/>
      <w:sz w:val="20"/>
      <w:szCs w:val="20"/>
      <w:lang w:val="es-ES"/>
    </w:rPr>
  </w:style>
  <w:style w:type="paragraph" w:styleId="Textodeglobo">
    <w:name w:val="Balloon Text"/>
    <w:basedOn w:val="Normal"/>
    <w:link w:val="TextodegloboCar"/>
    <w:uiPriority w:val="99"/>
    <w:semiHidden/>
    <w:unhideWhenUsed/>
    <w:rsid w:val="00CC37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37AA"/>
    <w:rPr>
      <w:rFonts w:ascii="Segoe UI" w:eastAsia="TeXGyreAdventor" w:hAnsi="Segoe UI" w:cs="Segoe UI"/>
      <w:sz w:val="18"/>
      <w:szCs w:val="18"/>
      <w:lang w:val="es-ES"/>
    </w:rPr>
  </w:style>
  <w:style w:type="table" w:styleId="Tablaconcuadrcula">
    <w:name w:val="Table Grid"/>
    <w:basedOn w:val="Tablanormal"/>
    <w:uiPriority w:val="39"/>
    <w:rsid w:val="00282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37779C"/>
    <w:rPr>
      <w:rFonts w:ascii="TeXGyreAdventor" w:eastAsia="TeXGyreAdventor" w:hAnsi="TeXGyreAdventor" w:cs="TeXGyreAdventor"/>
      <w:lang w:val="es-ES"/>
    </w:rPr>
  </w:style>
  <w:style w:type="paragraph" w:styleId="Encabezado">
    <w:name w:val="header"/>
    <w:basedOn w:val="Normal"/>
    <w:link w:val="EncabezadoCar"/>
    <w:uiPriority w:val="99"/>
    <w:unhideWhenUsed/>
    <w:rsid w:val="00B878AF"/>
    <w:pPr>
      <w:tabs>
        <w:tab w:val="center" w:pos="4419"/>
        <w:tab w:val="right" w:pos="8838"/>
      </w:tabs>
    </w:pPr>
  </w:style>
  <w:style w:type="character" w:customStyle="1" w:styleId="EncabezadoCar">
    <w:name w:val="Encabezado Car"/>
    <w:basedOn w:val="Fuentedeprrafopredeter"/>
    <w:link w:val="Encabezado"/>
    <w:uiPriority w:val="99"/>
    <w:rsid w:val="00B878AF"/>
    <w:rPr>
      <w:rFonts w:ascii="TeXGyreAdventor" w:eastAsia="TeXGyreAdventor" w:hAnsi="TeXGyreAdventor" w:cs="TeXGyreAdventor"/>
      <w:lang w:val="es-ES"/>
    </w:rPr>
  </w:style>
  <w:style w:type="paragraph" w:styleId="Piedepgina">
    <w:name w:val="footer"/>
    <w:basedOn w:val="Normal"/>
    <w:link w:val="PiedepginaCar"/>
    <w:uiPriority w:val="99"/>
    <w:unhideWhenUsed/>
    <w:rsid w:val="00B878AF"/>
    <w:pPr>
      <w:tabs>
        <w:tab w:val="center" w:pos="4419"/>
        <w:tab w:val="right" w:pos="8838"/>
      </w:tabs>
    </w:pPr>
  </w:style>
  <w:style w:type="character" w:customStyle="1" w:styleId="PiedepginaCar">
    <w:name w:val="Pie de página Car"/>
    <w:basedOn w:val="Fuentedeprrafopredeter"/>
    <w:link w:val="Piedepgina"/>
    <w:uiPriority w:val="99"/>
    <w:rsid w:val="00B878AF"/>
    <w:rPr>
      <w:rFonts w:ascii="TeXGyreAdventor" w:eastAsia="TeXGyreAdventor" w:hAnsi="TeXGyreAdventor" w:cs="TeXGyreAdventor"/>
      <w:lang w:val="es-ES"/>
    </w:rPr>
  </w:style>
  <w:style w:type="paragraph" w:styleId="NormalWeb">
    <w:name w:val="Normal (Web)"/>
    <w:basedOn w:val="Normal"/>
    <w:uiPriority w:val="99"/>
    <w:unhideWhenUsed/>
    <w:rsid w:val="00BF7145"/>
    <w:pPr>
      <w:widowControl/>
      <w:spacing w:before="100" w:beforeAutospacing="1" w:after="100" w:afterAutospacing="1"/>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824CBA"/>
    <w:rPr>
      <w:color w:val="0000FF" w:themeColor="hyperlink"/>
      <w:u w:val="single"/>
    </w:rPr>
  </w:style>
  <w:style w:type="character" w:customStyle="1" w:styleId="Mencinsinresolver1">
    <w:name w:val="Mención sin resolver1"/>
    <w:basedOn w:val="Fuentedeprrafopredeter"/>
    <w:uiPriority w:val="99"/>
    <w:semiHidden/>
    <w:unhideWhenUsed/>
    <w:rsid w:val="00824CBA"/>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left w:w="108" w:type="dxa"/>
        <w:right w:w="108" w:type="dxa"/>
      </w:tblCellMar>
    </w:tblPr>
  </w:style>
  <w:style w:type="table" w:customStyle="1" w:styleId="7">
    <w:name w:val="7"/>
    <w:basedOn w:val="TableNormal1"/>
    <w:tblPr>
      <w:tblStyleRowBandSize w:val="1"/>
      <w:tblStyleColBandSize w:val="1"/>
      <w:tblCellMar>
        <w:left w:w="108" w:type="dxa"/>
        <w:right w:w="108" w:type="dxa"/>
      </w:tblCellMar>
    </w:tbl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character" w:styleId="nfasis">
    <w:name w:val="Emphasis"/>
    <w:basedOn w:val="Fuentedeprrafopredeter"/>
    <w:uiPriority w:val="20"/>
    <w:qFormat/>
    <w:rsid w:val="0028194B"/>
    <w:rPr>
      <w:i/>
      <w:iCs/>
    </w:rPr>
  </w:style>
  <w:style w:type="character" w:styleId="Mencinsinresolver">
    <w:name w:val="Unresolved Mention"/>
    <w:basedOn w:val="Fuentedeprrafopredeter"/>
    <w:uiPriority w:val="99"/>
    <w:semiHidden/>
    <w:unhideWhenUsed/>
    <w:rsid w:val="00281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portal.osce.gob.pe/osce/sites/default/files/Documentos/legislacion/Legislacion%20y%20Documentos%20Elaborados%20por%20el%20OSCE/Opiniones_2018/061-18%20-%20BAFUR%20SCR%20%20LTDA.docx" TargetMode="External"/><Relationship Id="rId18" Type="http://schemas.openxmlformats.org/officeDocument/2006/relationships/hyperlink" Target="https://portal.osce.gob.pe/osce/sites/default/files/Documentos/legislacion/Legislacion%20y%20Documentos%20Elaborados%20por%20el%20OSCE/Opiniones_2019/016-18%20-%20TD.%2014075167%20-%20Superintendencia%20de%20%20Banca%20y%20Seguros.docx" TargetMode="External"/><Relationship Id="rId26" Type="http://schemas.openxmlformats.org/officeDocument/2006/relationships/hyperlink" Target="https://portal.osce.gob.pe/osce/sites/default/files/Documentos/legislacion/Legislacion%20y%20Documentos%20Elaborados%20por%20el%20OSCE/Opiniones_2019/167-19%20-%20TD.%2015444725%20-%20DAVID%20BERNABE%20MEDINA%20AIQUIPA%20-%20Conciliaci%C3%B3n%20dentro%20del%20arbitraje.doc" TargetMode="External"/><Relationship Id="rId3" Type="http://schemas.openxmlformats.org/officeDocument/2006/relationships/styles" Target="styles.xml"/><Relationship Id="rId21" Type="http://schemas.openxmlformats.org/officeDocument/2006/relationships/hyperlink" Target="https://www.caeperu.com/aula-virtual/docente-5/lecturas/servicio-de-parques-de-lima-SERPAR.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eperu.com/aula-virtual/docente-3/lecturas/MIER-los-riesgos-su-identificacion-asignacion-y-amortizacion-en-los-contratos-del-estado.pdf" TargetMode="External"/><Relationship Id="rId17" Type="http://schemas.openxmlformats.org/officeDocument/2006/relationships/hyperlink" Target="https://portal.osce.gob.pe/osce/sites/default/files/Documentos/legislacion/Legislacion%20y%20Documentos%20Elaborados%20por%20el%20OSCE/Opiniones_2018/214-19%20-%20PRIETO%20INGENIEROS%20CONSULTORES%20S.A.%20-%20Conformidad%20del%20servicio%20%28T.D.%2013822146%20-%2014054728%29.doc" TargetMode="External"/><Relationship Id="rId25" Type="http://schemas.openxmlformats.org/officeDocument/2006/relationships/hyperlink" Target="https://portal.osce.gob.pe/osce/sites/default/files/Documentos/legislacion/Legislacion%20y%20Documentos%20Elaborados%20por%20el%20OSCE/Opiniones_2019/152-19%20-%20MIN.DE%20EDUCACION%20-TD.%2015282726%20-%20%20MEDIOS%20SOLUCION%20CONTROVERSIAS%20%20EJEC.%20CONTRACTUAL.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rtal.osce.gob.pe/osce/sites/default/files/Documentos/legislacion/Legislacion%20y%20Documentos%20Elaborados%20por%20el%20OSCE/Opiniones_2018/202-18%20-%20TD%2013834047%20-%20Gob.%20Reg.%20Huancavelica.docx" TargetMode="External"/><Relationship Id="rId20" Type="http://schemas.openxmlformats.org/officeDocument/2006/relationships/hyperlink" Target="https://www.caeperu.com/aula-virtual/docente-5/lecturas/comunicado-n-005-2020-sobre-la-ejecucion-de-contratos.pdf" TargetMode="External"/><Relationship Id="rId29" Type="http://schemas.openxmlformats.org/officeDocument/2006/relationships/hyperlink" Target="http://www.seace.gob.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ardomertehikian.com/media_/03.pdf" TargetMode="External"/><Relationship Id="rId24" Type="http://schemas.openxmlformats.org/officeDocument/2006/relationships/hyperlink" Target="https://www.caeperu.com/aula-virtual/docente-6/lecturas/guzman-2018-las-contrataciones-del-estado.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ortal.osce.gob.pe/osce/sites/default/files/Documentos/legislacion/Legislacion%20y%20Documentos%20Elaborados%20por%20el%20OSCE/Opiniones_2019/131-2019%20-%20TD.%2015104676%20-%20MINISTERIO%20DE%20ENERGIA%20Y%20MINAS%20-%20%20Aplicaci%C3%B3n%20de%20otras%20penalidades.doc" TargetMode="External"/><Relationship Id="rId23" Type="http://schemas.openxmlformats.org/officeDocument/2006/relationships/hyperlink" Target="https://www.caeperu.com/aula-virtual/docente-6/lecturas/acuerdo-de-sala-plena-n-04-2017-TCE.pdf" TargetMode="External"/><Relationship Id="rId28" Type="http://schemas.openxmlformats.org/officeDocument/2006/relationships/hyperlink" Target="http://www.osce.gob.pe/" TargetMode="External"/><Relationship Id="rId10" Type="http://schemas.openxmlformats.org/officeDocument/2006/relationships/hyperlink" Target="http://portal.osce.gob.pe/osce/content/ley-de-contrataciones-del-estado-y-reglamento" TargetMode="External"/><Relationship Id="rId19" Type="http://schemas.openxmlformats.org/officeDocument/2006/relationships/hyperlink" Target="https://portal.osce.gob.pe/osce/sites/default/files/Documentos/legislacion/Legislacion%20y%20Documentos%20Elaborados%20por%20el%20OSCE/Opiniones_2019/016-18%20-%20TD.%2014075167%20-%20Superintendencia%20de%20%20Banca%20y%20Seguros.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us360.com/contrataciones-publicas/estamos-preparados-para-la-vacuna-de-la-covid-19-entre-el-abastecimiento-publico-y-la-politica-publica-de-salud-roberto-benavides/" TargetMode="External"/><Relationship Id="rId14" Type="http://schemas.openxmlformats.org/officeDocument/2006/relationships/hyperlink" Target="https://portal.osce.gob.pe/osce/sites/default/files/Documentos/legislacion/Legislacion%20y%20Documentos%20Elaborados%20por%20el%20OSCE/Opiniones_2019/120-19%20MUNI%20CORONEL%20PORTILLO%20penalidad.docx" TargetMode="External"/><Relationship Id="rId22" Type="http://schemas.openxmlformats.org/officeDocument/2006/relationships/hyperlink" Target="https://www.caeperu.com/aula-virtual/docente-5/lecturas/PRONIED-plazo-de-vigencia-contractual.pdf" TargetMode="External"/><Relationship Id="rId27" Type="http://schemas.openxmlformats.org/officeDocument/2006/relationships/hyperlink" Target="https://portal.osce.gob.pe/osce/sites/default/files/Documentos/legislacion/Legislacion%20y%20Documentos%20Elaborados%20por%20el%20OSCE/Opiniones_2019/186-19%20-%20TD.%2015621359%20%20Seguro%20Integral%20de%20Salud.docx" TargetMode="External"/><Relationship Id="rId30" Type="http://schemas.openxmlformats.org/officeDocument/2006/relationships/image" Target="media/image1.png"/><Relationship Id="rId8" Type="http://schemas.openxmlformats.org/officeDocument/2006/relationships/hyperlink" Target="https://es.slideshare.net/milagroshuaquia/la-importancia-de-saber-pedir-roberto-benavides-pontex-2225498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J25+LHAZ7IdFvbh5tk1La1qGUw==">AMUW2mWcOKVxjYmr6/2KtniS1kyMcnNVAsoBAhmoU1LBn2w2SA8EcwoGfPgtjytEmkR0MYOAE3XIxC2909JTPVTkORtFvjEpMUKJ0Qng8cULIyb8vzZiuryiykpAWJYH+qnS2Y+6prvP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3775</Words>
  <Characters>20767</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Diana Contreras Meléndez</cp:lastModifiedBy>
  <cp:revision>2</cp:revision>
  <dcterms:created xsi:type="dcterms:W3CDTF">2020-10-20T21:00:00Z</dcterms:created>
  <dcterms:modified xsi:type="dcterms:W3CDTF">2020-10-20T21:00:00Z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Microsoft® Word 2013</vt:lpwstr>
  </property>
  <property fmtid="{D5CDD505-2E9C-101B-9397-08002B2CF9AE}" pid="4" name="LastSaved">
    <vt:filetime>2020-09-17T00:00:00Z</vt:filetime>
  </property>
</Properties>
</file>